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الفصل إلى شرح طبيعة الأوراق المالية المتداولة في أسواق المال، مع التركيز على هيكل هذه الأسواق وإجراءات وقوانين التعامل فيها. يعد هذا الفصل هامًا لأن الهدف الأساسي لأي منشأة أو مستثمر هو تكوين محفظة استثمارية مثلى. يتطلب تحقيق هذا الهدف معرفة المستثمر ببدائل الاستثمار المختلفة من حيث العائد والمخاطرة. بعد اتخاذ قرار الاستثمار في أوراق مالية محددة، يجب على المستثمر فهم أماكن وإجراءات تداول هذه الاستثمارات. سيبدأ الفصل بتعريف الأوراق المالية وتصنيفها، ثم يناقش الأسواق المالية بأنواعها المختلفة، وأهم أدوات التمويل والاستثمار المتداولة فيها.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2026-09-26T23:50:05+00:00</dcterms:created>
  <dcterms:modified xsi:type="dcterms:W3CDTF">2026-09-26T23:50:05+00:00</dcterms:modified>
</cp:coreProperties>
</file>

<file path=docProps/custom.xml><?xml version="1.0" encoding="utf-8"?>
<Properties xmlns="http://schemas.openxmlformats.org/officeDocument/2006/custom-properties" xmlns:vt="http://schemas.openxmlformats.org/officeDocument/2006/docPropsVTypes"/>
</file>