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١- الاقرار: وهو اعترافه الصريح بذلك ،</w:t>
      </w:r>
    </w:p>
    <w:p>
      <w:pPr/>
      <w:r>
        <w:rPr>
          <w:shd w:val="clear" w:fill="eeee80"/>
        </w:rPr>
        <w:t xml:space="preserve"> ولا يرجع عن إقراراه قبل إقامة الحد عليه فإن رجع ان إقراره قبل إقامة الحد عليه فلا يطبق الحد عليه لوجود الشبهة في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2026-10-09T08:20:38+00:00</dcterms:created>
  <dcterms:modified xsi:type="dcterms:W3CDTF">2026-10-09T08:20:38+00:00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