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١. المرسل: أصبح المرسل مخيرا في تحرير رسالته من خلال الاتصال المباشر الشبكي أو من خلال المسارات المحكومة برقابة حارس البوابة،</w:t>
      </w:r>
    </w:p>
    <w:p>
      <w:pPr/>
      <w:r>
        <w:rPr/>
        <w:t xml:space="preserve"> وأتيحت الفرصة للمرسل التعرف على رجع الصدى الناتج من رسائله أولاً بأول.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2026-09-04T18:18:53+00:00</dcterms:created>
  <dcterms:modified xsi:type="dcterms:W3CDTF">2026-09-04T18:18:53+00:00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