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التمسك بالحقوق العربية ،</w:t>
      </w:r>
    </w:p>
    <w:p>
      <w:pPr/>
      <w:r>
        <w:rPr>
          <w:shd w:val="clear" w:fill="eeee80"/>
        </w:rPr>
        <w:t xml:space="preserve"> ومناصرة القضايا الإسلامية تجسدت هذه الإنجازات في المبادئ التي جاء بها إعلان دمشق ،</w:t>
      </w:r>
    </w:p>
    <w:p>
      <w:pPr/>
      <w:r>
        <w:rPr>
          <w:shd w:val="clear" w:fill="eeee80"/>
        </w:rPr>
        <w:t xml:space="preserve"> من حيث احترام وحدة الأراضي والسلامة الإقليمية وعدم جواز اكتساب الأراضي بالقوة واحترام مبدأ سيادة كل دولة على أراضيها مواردها الطبيعية والمساواة في السيادة.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2026-10-02T00:33:18+00:00</dcterms:created>
  <dcterms:modified xsi:type="dcterms:W3CDTF">2026-10-02T00:33:18+00:00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