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دين الضريبة  لا يتحقق بذمة شخص لمجرد صدور قانون الضريبة،</w:t>
      </w:r>
    </w:p>
    <w:p>
      <w:pPr/>
      <w:r>
        <w:rPr>
          <w:shd w:val="clear" w:fill="eeee80"/>
        </w:rPr>
        <w:t xml:space="preserve"> وإنما يتطلب الأمر أن يتحقق بالنسبة له الشرط الذي حدده قانون الضريبة،</w:t>
      </w:r>
    </w:p>
    <w:p>
      <w:pPr/>
      <w:r>
        <w:rPr>
          <w:shd w:val="clear" w:fill="eeee80"/>
        </w:rPr>
        <w:t xml:space="preserve"> وهو ما يعرف بالواقعة المنشئة للضريبة ( مناسبة فرض الضريبة )،</w:t>
      </w:r>
    </w:p>
    <w:p>
      <w:pPr/>
      <w:r>
        <w:rPr>
          <w:shd w:val="clear" w:fill="eeee80"/>
        </w:rPr>
        <w:t xml:space="preserve"> والتي تتمثل في الحصول على الدخل في نهاية السنة بالنسبة للضريبة على الدخل أو تملك رأس المال بالنسبة للضريبة على رأس المال،</w:t>
      </w:r>
    </w:p>
    <w:p>
      <w:pPr/>
      <w:r>
        <w:rPr>
          <w:shd w:val="clear" w:fill="eeee80"/>
        </w:rPr>
        <w:t xml:space="preserve"> و تحديد لحظة نشوء الدين الضريبي في ذمة المكلف بالضريبة له أهمية كبرى من الوجهة القانونية،</w:t>
      </w:r>
    </w:p>
    <w:p>
      <w:pPr/>
      <w:r>
        <w:rPr>
          <w:shd w:val="clear" w:fill="eeee80"/>
        </w:rPr>
        <w:t xml:space="preserve"> إذ تبدأ المواعيد القانونية في تلك اللحظة التي تتحقق فيها الواقعة المنشئة.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2026-10-11T16:05:05+00:00</dcterms:created>
  <dcterms:modified xsi:type="dcterms:W3CDTF">2026-10-11T16:05:05+00:00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