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تغطي اللسان نتوءات تحوي براعم تذوق وهي مستقبلات حسية تستجيب للمواد الكيميائية المسؤولة عن مذاق الاطعمه؛ اذ تذوب هذه المواد في اللعاب، ليتكون سيال عصبي ينتقل الى الدماغ لادراك مذاق الاطعمه،</w:t>
      </w:r>
    </w:p>
    <w:p>
      <w:pPr/>
      <w:r>
        <w:rPr>
          <w:shd w:val="clear" w:fill="eeee80"/>
        </w:rPr>
        <w:t xml:space="preserve"> مثل المالح والحلو والحامض والمر.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2026-10-07T06:23:40+00:00</dcterms:created>
  <dcterms:modified xsi:type="dcterms:W3CDTF">2026-10-07T06:23:40+00:00</dcterms:modified>
</cp:coreProperties>
</file>

<file path=docProps/custom.xml><?xml version="1.0" encoding="utf-8"?>
<Properties xmlns="http://schemas.openxmlformats.org/officeDocument/2006/custom-properties" xmlns:vt="http://schemas.openxmlformats.org/officeDocument/2006/docPropsVTypes"/>
</file>