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المعيار الثاني: دراسة وفهم نشاط المنشأة وبيئتها بما في ذلك الرقابة الداخلية ذات الصلة بالبيانات</w:t>
      </w:r>
    </w:p>
    <w:p>
      <w:pPr/>
      <w:r>
        <w:rPr/>
        <w:t xml:space="preserve">المالية: 1</w:t>
      </w:r>
    </w:p>
    <w:p>
      <w:pPr/>
      <w:r>
        <w:rPr>
          <w:shd w:val="clear" w:fill="eeee80"/>
        </w:rPr>
        <w:t xml:space="preserve">حيث يقوم المدقق بذلك من أجل تحديد وتقييم مخاطر وجود تحريفات مادية في البيانات المالية سواءً كانت ناتجة عن الغش أو الخطاء ومن أجل تصميم طبيعة وحجم وتوقيت</w:t>
      </w:r>
    </w:p>
    <w:p>
      <w:pPr/>
      <w:r>
        <w:rPr>
          <w:shd w:val="clear" w:fill="eeee80"/>
        </w:rPr>
        <w:t xml:space="preserve">اختبارات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2026-10-19T09:23:52+00:00</dcterms:created>
  <dcterms:modified xsi:type="dcterms:W3CDTF">2026-10-19T09:23:52+00:00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