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télécommunications par satellite présente plusieurs défis techniques, économiques et environnementaux. L'augmentation rapide du nombre de satellites, notamment avec les projets Starlink et Kuiper, pose des problèmes de congestion spatiale, de pollution lumineuse et de débris spatiaux. Le coût élevé du lancement et de l'exploitation des satellites limite leur adoption dans certaines régions, bien que les innovations technologiques visent à réduire ces coûts. La latence élevée des communications par satellite, notamment avec les satellites géostationnaires, pose des problèmes pour les applications en temps réel. La sécurité des communications par satellite est un enjeu crucial face aux menaces potentielles comme le brouillage électromagnétique et les attaques cybernétiques. L'intégration des services satellitaires dans l'écosystème 5G est un défi technique majeur qui nécessite une collaboration internationale. Pour tirer pleinement parti du potentiel des télécommunications par satellite, il est essentiel d'aborder ces défis avec une approche collaborative entre les gouvernements, les entreprises et les organismes internationaux.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