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المهارات المعرفية والتفكير النقديتهدف هذه المهارات إلى تعزيز القدرات العقلية والإبداعية لدى الأفراد، تسعى المملكة إلى تحديث المناهج الدراسية لتشمل مهارات التفكير النقدي والإبداعي بما يتناسب مع متطلبات العصر الحديث.2-حل المشكلات: تطوير استراتيجيات فعالة للتعامل مع التحديات المختلفة، وقد تم إنشاء مراكز ابتكار مثل "مركز ذكاء" وتوفير الدعم للمشاريع الناشئة لتعزيز ثقافة الابتكار. والسعي الدائم لاكتساب معارف ومهارات جديدة في مجالات متنوعة. تم إطلاق منصات تعليمية رقمية مثل "مدرستي" لدعم التعليم المستمر وتوفير الموارد اللازمة. وقد تم تنفيذ مبادرات للتحول الرقمي بهدف تحسين المهارات التقنية للمواطنين وتبني التكنلوجيا في مختلف القطاعات.1-الاتصال الفعّال: القدرة على توضيح الأفكار بشكل جيد،3- الذكاء العاطفي: إدراك المشاعر الشخصية والتحكم فيها، واتخاذ القرارات الصائبة لقيادة الفرق والمشاريع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