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هذا أعلى مستوى الجودة الخدمة ويُستخدم.</w:t>
      </w:r>
    </w:p>
    <w:p>
      <w:pPr/>
      <w:r>
        <w:rPr>
          <w:shd w:val="clear" w:fill="eeee80"/>
        </w:rPr>
        <w:t xml:space="preserve"> في الحالات التي لا تسمح بفقدان الرسالة أو تكرارها.</w:t>
      </w:r>
    </w:p>
    <w:p>
      <w:pPr/>
      <w:r>
        <w:rPr>
          <w:shd w:val="clear" w:fill="eeee80"/>
        </w:rPr>
        <w:t xml:space="preserve"> يحتوي مستوى جودة الخدمة هذا على تكلفة إضافية نظرًا لأن كل حزمة تتضمن متغيراً اختياريًا يحتوي على تعريف الحزمة،</w:t>
      </w:r>
    </w:p>
    <w:p>
      <w:pPr/>
      <w:r>
        <w:rPr/>
        <w:t xml:space="preserve"> ويوفر هذا المستوى "خدمة مضمونة" تسمى التسليم مرة واحدة بالضبط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2026-10-15T13:08:19+00:00</dcterms:created>
  <dcterms:modified xsi:type="dcterms:W3CDTF">2026-10-15T13:08:19+00:00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