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بعدما أعلنت انجلترا انهيار قاعدة الذهب بإلغاء قابلية تحويل الجنيه الإسترليني إلى الذهب في عام 1931 تتبعها بقية الدول و أصبح النظام النقدي قائما على حرية تقويم العملات حيث شهدت تلك الفترة تنافسا محموما بين البدل في تخفيض عملاتها من ناحية و فرض القيود الحماية من ناحية أخرى ،</w:t>
      </w:r>
    </w:p>
    <w:p>
      <w:pPr/>
      <w:r>
        <w:rPr/>
        <w:t xml:space="preserve"> وقد كانت الدول الحليفة قد بدأت لفترة طويلة قبل نهاية الحرب العالمية الثانية العمل لتطوير نظام من شأنه أن يعزز ثلاث أهداف  وهي:	إزالة قيود التجارة فورا.</w:t>
      </w:r>
    </w:p>
    <w:p>
      <w:pPr/>
      <w:r>
        <w:rPr>
          <w:shd w:val="clear" w:fill="eeee80"/>
        </w:rPr>
        <w:t xml:space="preserve">	تحقيق تحويل العملات التي تلاشت كلية نتيجة الرقابة على نظام الصرف التي شملت العالم.</w:t>
      </w:r>
    </w:p>
    <w:p>
      <w:pPr/>
      <w:r>
        <w:rPr/>
        <w:t xml:space="preserve">	الحفاظ على أسعار صرف مستقر بين مختلف العملات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2026-08-21T03:29:37+00:00</dcterms:created>
  <dcterms:modified xsi:type="dcterms:W3CDTF">2026-08-21T03:29:37+00:00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