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التفاعل الديناميكي بين الثقافة والشخصية والخبرات السابقة يشكل سلوك المستهلك في جميع أنحاء العالم.</w:t>
      </w:r>
    </w:p>
    <w:p>
      <w:pPr/>
      <w:r>
        <w:rPr>
          <w:shd w:val="clear" w:fill="eeee80"/>
        </w:rPr>
        <w:t xml:space="preserve"> وفي الجمهورية العربية السورية،</w:t>
      </w:r>
    </w:p>
    <w:p>
      <w:pPr/>
      <w:r>
        <w:rPr/>
        <w:t xml:space="preserve"> تمارس هذه العوامل تأثيرًا كبيرًا على كيفية اتخاذ الأفراد لقرارات الشراء. إن فهم كيفية ظهور هذه التأثيرات يمكن أن يوفر رؤى قيمة حول ديناميكيات السوق داخل البلاد.</w:t>
      </w:r>
    </w:p>
    <w:p>
      <w:pPr/>
      <w:r>
        <w:rPr>
          <w:shd w:val="clear" w:fill="eeee80"/>
        </w:rPr>
        <w:t xml:space="preserve"> يتعمق هذا المقال في الأبعاد الثقافية والنفسية والتجريبية التي تحكم سلوك المشتري في سوريا،</w:t>
      </w:r>
    </w:p>
    <w:p>
      <w:pPr/>
      <w:r>
        <w:rPr>
          <w:shd w:val="clear" w:fill="eeee80"/>
        </w:rPr>
        <w:t xml:space="preserve"> ويناقش الجوانب الإيجابية والسلبية لتقديم رؤية شاملة.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2026-08-31T03:52:15+00:00</dcterms:created>
  <dcterms:modified xsi:type="dcterms:W3CDTF">2026-08-31T03:52:15+00:00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