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يُعلن هذا الملخص عن وفاة المواطن صالح أحمد الفقيه بتاريخ 30/03/1433هـ،  وصدور صك حصر الورثة رقم (10/4/ض) بتاريخ 07/04/1433هـ من محكمة الباحة.  حدد الصك الورثة الشرعيين وهم: منصور، عبدالرحمن، عبدالله، ريم، ندى، وفاء، سعدى، غرسة، وحمدة، بالإضافة إلى بشائر (مواليد 11/12/1430هـ).  لم يترك المتوفى وصية أو ديونًا،  وتتكون تركته من ثلاث قطع أراضٍ زراعية وسكنية بحي الكراء – مدينة الباحة،  مسجلة بصكوك الأرقام: 27218، 44، و8538.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2026-10-15T20:44:01+00:00</dcterms:created>
  <dcterms:modified xsi:type="dcterms:W3CDTF">2026-10-15T20:44:01+00:00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