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1-	مبدأ الميزانية الوظيفة </w:t>
      </w:r>
    </w:p>
    <w:p>
      <w:pPr/>
      <w:r>
        <w:rPr>
          <w:shd w:val="clear" w:fill="eeee80"/>
        </w:rPr>
        <w:t xml:space="preserve">1-1 الموارد والاستخدامات:</w:t>
      </w:r>
    </w:p>
    <w:p>
      <w:pPr/>
      <w:r>
        <w:rPr>
          <w:shd w:val="clear" w:fill="eeee80"/>
        </w:rPr>
        <w:t xml:space="preserve">العمليات التي تقوم بها المؤسسة تولد تدفقات الموارد التي تسمح بتمويل الاستخدامات.</w:t>
      </w:r>
    </w:p>
    <w:p>
      <w:pPr/>
      <w:r>
        <w:rPr>
          <w:shd w:val="clear" w:fill="eeee80"/>
        </w:rPr>
        <w:t xml:space="preserve">-	الموارد تهدف إلى زيادة الخزينة المتاحة.</w:t>
      </w:r>
    </w:p>
    <w:p>
      <w:pPr/>
      <w:r>
        <w:rPr>
          <w:shd w:val="clear" w:fill="eeee80"/>
        </w:rPr>
        <w:t xml:space="preserve">-	عن طريق هذه الخزينة تستطيع المؤسسة تمويل الاستخدامات.</w:t>
      </w:r>
    </w:p>
    <w:p>
      <w:pPr/>
      <w:r>
        <w:rPr/>
        <w:t xml:space="preserve">-	إذا كانت موارد فترة أكبر من استخداماتها ينتج ذلك فائض صافي للخزينة،</w:t>
      </w:r>
    </w:p>
    <w:p>
      <w:pPr/>
      <w:r>
        <w:rPr>
          <w:shd w:val="clear" w:fill="eeee80"/>
        </w:rPr>
        <w:t xml:space="preserve"> وفي حالة العكس فإن الخزينة تنقص.</w:t>
      </w:r>
    </w:p>
    <w:p>
      <w:pPr/>
      <w:r>
        <w:rPr>
          <w:shd w:val="clear" w:fill="eeee80"/>
        </w:rPr>
        <w:t xml:space="preserve">الميزانية الوظيفة تقدم تراكم تدفقات الموارد والاستخدامات المتبادلة مند نشأة المؤسسة.</w:t>
      </w:r>
    </w:p>
    <w:p>
      <w:pPr/>
      <w:r>
        <w:rPr>
          <w:shd w:val="clear" w:fill="eeee80"/>
        </w:rPr>
        <w:t xml:space="preserve">الشكل التالي يوضح الموارد والاستخدامات في المؤسسة: </w:t>
      </w:r>
    </w:p>
    <w:p>
      <w:pPr/>
      <w:r>
        <w:rPr>
          <w:shd w:val="clear" w:fill="eeee80"/>
        </w:rPr>
        <w:t xml:space="preserve">1)	تعريف الميزانية الوظيفة1:</w:t>
      </w:r>
    </w:p>
    <w:p>
      <w:pPr/>
      <w:r>
        <w:rPr>
          <w:shd w:val="clear" w:fill="eeee80"/>
        </w:rPr>
        <w:t xml:space="preserve">2)	عناصر الميزانية الوظيفة:</w:t>
      </w:r>
    </w:p>
    <w:p>
      <w:pPr/>
      <w:r>
        <w:rPr>
          <w:shd w:val="clear" w:fill="eeee80"/>
        </w:rPr>
        <w:t xml:space="preserve">الدورات الوظيفة:</w:t>
      </w:r>
    </w:p>
    <w:p>
      <w:pPr/>
      <w:r>
        <w:rPr>
          <w:shd w:val="clear" w:fill="eeee80"/>
        </w:rPr>
        <w:t xml:space="preserve">أ‌)	الدورة الطويلة لتمويل التثبتات:</w:t>
      </w:r>
    </w:p>
    <w:p>
      <w:pPr/>
      <w:r>
        <w:rPr>
          <w:shd w:val="clear" w:fill="eeee80"/>
        </w:rPr>
        <w:t xml:space="preserve">   إن رفع راس المال أو اللجوء الى القروض يحدد التمويل في المؤسسة على عدة سنوات،</w:t>
      </w:r>
    </w:p>
    <w:p>
      <w:pPr/>
      <w:r>
        <w:rPr>
          <w:shd w:val="clear" w:fill="eeee80"/>
        </w:rPr>
        <w:t xml:space="preserve">•	رفع رأس المال والاقتراض يمثل موارد الثابتة.</w:t>
      </w:r>
    </w:p>
    <w:p>
      <w:pPr/>
      <w:r>
        <w:rPr/>
        <w:t xml:space="preserve">•	تحقيق استثمار يحدد لنا هيكلة المؤسسة على المدى الطويل،</w:t>
      </w:r>
    </w:p>
    <w:p>
      <w:pPr/>
      <w:r>
        <w:rPr>
          <w:shd w:val="clear" w:fill="eeee80"/>
        </w:rPr>
        <w:t xml:space="preserve"> حيث الاستثمار يعتبر استخدامات ثابتة.</w:t>
      </w:r>
    </w:p>
    <w:p>
      <w:pPr/>
      <w:r>
        <w:rPr>
          <w:shd w:val="clear" w:fill="eeee80"/>
        </w:rPr>
        <w:t xml:space="preserve">الاستثمارات</w:t>
      </w:r>
    </w:p>
    <w:p>
      <w:pPr/>
      <w:r>
        <w:rPr>
          <w:shd w:val="clear" w:fill="eeee80"/>
        </w:rPr>
        <w:t xml:space="preserve">ب‌)	لدورة القصيرة للاستغلال:</w:t>
      </w:r>
    </w:p>
    <w:p>
      <w:pPr/>
      <w:r>
        <w:rPr>
          <w:shd w:val="clear" w:fill="eeee80"/>
        </w:rPr>
        <w:t xml:space="preserve">تتمثل في عمليات الاستغلال المتعلقة بالشراء،</w:t>
      </w:r>
    </w:p>
    <w:p>
      <w:pPr/>
      <w:r>
        <w:rPr>
          <w:shd w:val="clear" w:fill="eeee80"/>
        </w:rPr>
        <w:t xml:space="preserve">تتكون الميزانية الوظيفية من أربعة كتل اثنتان منها تخص الدورة الطويلة وهما الموارد الثابتة والاستخدامات الثابتة وتكون في أعلى الميزانية،</w:t>
      </w:r>
    </w:p>
    <w:p>
      <w:pPr/>
      <w:r>
        <w:rPr>
          <w:shd w:val="clear" w:fill="eeee80"/>
        </w:rPr>
        <w:t xml:space="preserve">أ‌)	كتل الأصول:</w:t>
      </w:r>
    </w:p>
    <w:p>
      <w:pPr/>
      <w:r>
        <w:rPr>
          <w:shd w:val="clear" w:fill="eeee80"/>
        </w:rPr>
        <w:t xml:space="preserve">تتكون الأصول من كتلتين:</w:t>
      </w:r>
    </w:p>
    <w:p>
      <w:pPr/>
      <w:r>
        <w:rPr>
          <w:shd w:val="clear" w:fill="eeee80"/>
        </w:rPr>
        <w:t xml:space="preserve">	الأصول المتداولة: وتتمثل في الاستخدامات المتداولة وهي الأصول غير الجارية من مخزونات وحسابات الغيرالمدينة والحسابات المالية المدينة.</w:t>
      </w:r>
    </w:p>
    <w:p>
      <w:pPr/>
      <w:r>
        <w:rPr>
          <w:shd w:val="clear" w:fill="eeee80"/>
        </w:rPr>
        <w:t xml:space="preserve">تقيم الأصول في الميزانية الوظيفية بالقيمة الأصلية (الاجمالية)</w:t>
      </w:r>
    </w:p>
    <w:p>
      <w:pPr/>
      <w:r>
        <w:rPr>
          <w:shd w:val="clear" w:fill="eeee80"/>
        </w:rPr>
        <w:t xml:space="preserve">ب‌)	كتل الخصوم: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2026-08-17T14:15:49+00:00</dcterms:created>
  <dcterms:modified xsi:type="dcterms:W3CDTF">2026-08-17T14:15:49+00:00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