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الثقافة التنظيمية القوية عنصرا فعالا و مؤيدا و مساعدا لها على تحقيق اهدافها و طموحاتها و هذا عندما تكون الثقافة التنظيمية قوية مقبولة من طرف غالبية العاملين ،</w:t>
      </w:r>
    </w:p>
    <w:p>
      <w:pPr/>
      <w:r>
        <w:rPr>
          <w:shd w:val="clear" w:fill="eeee80"/>
        </w:rPr>
        <w:t xml:space="preserve"> و يرتضون بقيمها و أحكامها و قواعدها و يتبعون كل ذلك في سلوكياتهم و علاقاتهم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2026-09-21T16:03:37+00:00</dcterms:created>
  <dcterms:modified xsi:type="dcterms:W3CDTF">2026-09-21T16:03:37+00:00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