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أمر نابليون الأول ببناء قوس النصر تكريماً للجيش الكبير.</w:t>
      </w:r>
    </w:p>
    <w:p>
      <w:pPr/>
      <w:r>
        <w:rPr>
          <w:shd w:val="clear" w:fill="eeee80"/>
        </w:rPr>
        <w:t xml:space="preserve">تم استلهام هذا النصب المميّز في باريس من عقود الأقواس القديمة وهو يحمل أسماءً شهيرة ويضم قبر الجندي المجهول حيث يجري إحياء الشعلة كل مساء.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2026-10-31T11:11:24+00:00</dcterms:created>
  <dcterms:modified xsi:type="dcterms:W3CDTF">2026-10-31T11:11:24+00:00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