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الإبداع الإداري لدى مدير المدرسة: يُسهم ذلك في إيجاد حلول إبداعية للمشكلات، وخلق بيئة تعليمية محفزة للطلاب والمعلمين. ورفع دافعية الإنجاز لدى المعلمين: يُؤدي ذلك إلى زيادة التزامهم وسعيهم لتحقيق أفضل النتائج لطلابهم. وتحسين جودة الأنشطة التعليمية: يُصبح التعليم أكثر تفاعليًا وإثارة للاهتمام،</w:t>
      </w:r>
    </w:p>
    <w:p>
      <w:pPr/>
      <w:r>
        <w:rPr>
          <w:shd w:val="clear" w:fill="eeee80"/>
        </w:rPr>
        <w:t xml:space="preserve"> مما يُساعد الطلاب على التعلم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2026-10-20T02:50:12+00:00</dcterms:created>
  <dcterms:modified xsi:type="dcterms:W3CDTF">2026-10-20T02:50:12+00:00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