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خصصّ المؤسس الدستوري للمحكمة الدستورية فصلاً مستقلاً عن السلطة القضائية ضمن باب المؤسسات الرقابية، لتعزيز مكانتها واستقلاليتها عن السلطات الثلاث، بما فيها القضائية.  وتؤكد المادة 252 من التعديل الدستوري 2020 على ذلك بوصفها "مؤسسة مستقلة مكلفة بضمان احترام الدستور".  يُظهر هذا النص حرص المؤسس على استقلال المحكمة الدستورية.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2026-09-27T18:15:12+00:00</dcterms:created>
  <dcterms:modified xsi:type="dcterms:W3CDTF">2026-09-27T18:15:12+00:00</dcterms:modified>
</cp:coreProperties>
</file>

<file path=docProps/custom.xml><?xml version="1.0" encoding="utf-8"?>
<Properties xmlns="http://schemas.openxmlformats.org/officeDocument/2006/custom-properties" xmlns:vt="http://schemas.openxmlformats.org/officeDocument/2006/docPropsVTypes"/>
</file>