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Technological advances are dramatically changing the media geography, and innovative media metropolises are demanded that can respond to these changes.</w:t>
      </w:r>
    </w:p>
    <w:p>
      <w:pPr/>
      <w:r>
        <w:rPr/>
        <w:t xml:space="preserve"> This paper focuses on the use of Civilians to elect the ideal locales for ultramodern media metropolises in Iraq, using Civilians technology to identify applicable locales in Iraq's different geography, feting the country's artistic heritage, eventuality for technological growth, and profitable progress. The design aims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2026-10-21T11:08:31+00:00</dcterms:created>
  <dcterms:modified xsi:type="dcterms:W3CDTF">2026-10-21T11:08:31+00:00</dcterms:modified>
</cp:coreProperties>
</file>

<file path=docProps/custom.xml><?xml version="1.0" encoding="utf-8"?>
<Properties xmlns="http://schemas.openxmlformats.org/officeDocument/2006/custom-properties" xmlns:vt="http://schemas.openxmlformats.org/officeDocument/2006/docPropsVTypes"/>
</file>