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Costa Rica was one of the first ecotourism success stories.</w:t>
      </w:r>
    </w:p>
    <w:p>
      <w:pPr/>
      <w:r>
        <w:rPr>
          <w:shd w:val="clear" w:fill="eeee80"/>
        </w:rPr>
        <w:t xml:space="preserve">At one point, Costa Rica had the highest rate of deforestation in all of Latin America.</w:t>
      </w:r>
    </w:p>
    <w:p>
      <w:pPr/>
      <w:r>
        <w:rPr/>
        <w:t xml:space="preserve"> However, since ecotourism, there has been a dramatic decrease in deforestation. Now, more than a quarter of Costa Rica’s land is protected as a destination. Surprisingly, this small country of five million people receives about three million visitors a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2026-09-22T17:37:20+00:00</dcterms:created>
  <dcterms:modified xsi:type="dcterms:W3CDTF">2026-09-22T17:37:20+00:00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