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Background and Literature ReviewBurnout is a significant issue among nursing students, stemming from prolonged academic and clinical stress.</w:t></w:r></w:p><w:p><w:pPr/><w:r><w:rPr/><w:t xml:space="preserve"> It is characterized by emotional exhaustion, depersonalization, and reduced personal accomplishment (Maslach & Jackson, 1981). </w:t></w:r></w:p><w:p><w:pPr/><w:r><w:rPr><w:shd w:val="clear" w:fill="eeee80"/></w:rPr><w:t xml:space="preserve">Nursing students face unique stressors, including high academic demands, clinical placements, and lack of support, making them especially vulnerable to burnout.</w:t></w:r></w:p><w:p><w:pPr/><w:r><w:rPr/><w:t xml:space="preserve"> Research highlights that factors such as the mismatch between academic expectations and clinical realities, as well as the pressures of online learning (especially during the COVID-19 pandemic), significantly contribute to burnout. This issue impacts students' well-being, academic performance, and overall mental health, with potentially long-lasting consequences on their careers. </w:t></w:r></w:p><w:p><w:pPr/><w:r><w:rPr><w:shd w:val="clear" w:fill="eeee80"/></w:rPr><w:t xml:space="preserve">Therefore, early intervention and support systems are crucial to prevent burnout and improve nursing students' educational experience and resilience in their future careers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2026-08-31T21:13:15+00:00</dcterms:created>
  <dcterms:modified xsi:type="dcterms:W3CDTF">2026-08-31T21:13:15+00:00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