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أَعْلَنَ البنك الأهلي عن نتائجه الماليّة للربع الثاني من عام 2025، التي عكست استمرار النمو وتحقيق أداء قوي، حيث سجّل صافي ربح قدره 402 مليون ريال قطري، بزيادة نسبتها 5.1%، مقارنة بالفترة نفسها من العام الماضي. ويعكس هذا الأداء نجاح استراتيجية البنك القائمة على النمو المستدام، وتعزيز كفاءة إدارة المخاطر، وتقديم خِدمات مصرفية عالية الجودة، بالإضافة إلى التزامه بالتحوّل الرقْمي وتطوير الكفاءات الوطنية. وخلال الربع الثاني، واصلَ البنك تسجيل مؤشرات مالية إيجابية، حيث ارتفع إجمالي الأصول إلى 62 مليار ريال قطري، ونمت محفظة القروض والسلف بنسبة 7.1%، كما شهدت ودائع العملاء نموًا بنسبة 2.4%، ما يعكس الثقة المستمرة من قِبل العملاء والقدرة التشغيلية القوية للبنك.</w:t>
      </w:r>
    </w:p>
    <w:p>
      <w:pPr/>
      <w:r>
        <w:rPr>
          <w:shd w:val="clear" w:fill="eeee80"/>
        </w:rPr>
        <w:t xml:space="preserve"> وأكدت وكالتا التصنيف الائتماني العالميتان «فيتش» و»موديز» متانة الأسس المالية للبنك الأهلي من خلال تثبيت التصنيفات الائتمانية والتوقعات المستقبلية المستقرة،</w:t>
      </w:r>
    </w:p>
    <w:p>
      <w:pPr/>
      <w:r>
        <w:rPr/>
        <w:t xml:space="preserve"> في دلالة واضحة على قوة رأس المال، وجودة الأصول، وكفاءة السياسات المالية وإدارة المخاطر. وفي تعليقه على هذه النتائج،</w:t>
      </w:r>
    </w:p>
    <w:p>
      <w:pPr/>
      <w:r>
        <w:rPr>
          <w:shd w:val="clear" w:fill="eeee80"/>
        </w:rPr>
        <w:t xml:space="preserve"> قالَ سعادة الشيخ فيصل بن عبدالعزيز بن جاسم آل ثاني،</w:t>
      </w:r>
    </w:p>
    <w:p>
      <w:pPr/>
      <w:r>
        <w:rPr>
          <w:shd w:val="clear" w:fill="eeee80"/>
        </w:rPr>
        <w:t xml:space="preserve"> رئيس مجلس إدارة البنك الأهلي: إن الأداء الإيجابي للبنك خلال الربع الثاني هو نتيجة مباشرة لرؤيتنا الاستراتيجية طويلة المدى والتزامنا الراسخ بخدمة عملائنا ومساهمينا.</w:t>
      </w:r>
    </w:p>
    <w:p>
      <w:pPr/>
      <w:r>
        <w:rPr/>
        <w:t xml:space="preserve"> ونيابة عن مجلس الإدارة، أود أن أعبّر عن خالص تقديري لثقة عملائنا، ودعم مساهمينا، وجهود فريق الإدارة وموظفينا المخلصين، كما نشكر مصرف قطر المركزي على توجيهاته القيّمة ودعمه المتواصل. ومن جانبه، صرّح السيد حسن أحمد الإفرنجي، الرئيس التنفيذي للبنك الأهلي،</w:t>
      </w:r>
    </w:p>
    <w:p>
      <w:pPr/>
      <w:r>
        <w:rPr>
          <w:shd w:val="clear" w:fill="eeee80"/>
        </w:rPr>
        <w:t xml:space="preserve"> قائلًا: يعكس أداؤنا في الربع الثاني قوة نموذج أعمالنا ووضوح استراتيجيتنا القائمة على المرونة والتميّز في تقديم الخِدمات.</w:t>
      </w:r>
    </w:p>
    <w:p>
      <w:pPr/>
      <w:r>
        <w:rPr/>
        <w:t xml:space="preserve"> نحن ملتزمون بدعم الأولويات الوطنية لدولة قطر،</w:t>
      </w:r>
    </w:p>
    <w:p>
      <w:pPr/>
      <w:r>
        <w:rPr>
          <w:shd w:val="clear" w:fill="eeee80"/>
        </w:rPr>
        <w:t xml:space="preserve"> ونسعى باستمرار إلى تطوير خِدماتنا من خلال الابتكار والثقة وإيجاد قيمة حقيقية ومُستدامة لعملائنا.</w:t>
      </w:r>
    </w:p>
    <w:p>
      <w:pPr/>
      <w:r>
        <w:rPr/>
        <w:t xml:space="preserve"> ويواصل البنك الأهلي الاستثمار في التحوّل الرقْمي، من خلال تبني تقنيات ذكية وآمنة لتعزيز تجرِبة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2026-08-23T18:41:02+00:00</dcterms:created>
  <dcterms:modified xsi:type="dcterms:W3CDTF">2026-08-23T18:41:02+00:00</dcterms:modified>
</cp:coreProperties>
</file>

<file path=docProps/custom.xml><?xml version="1.0" encoding="utf-8"?>
<Properties xmlns="http://schemas.openxmlformats.org/officeDocument/2006/custom-properties" xmlns:vt="http://schemas.openxmlformats.org/officeDocument/2006/docPropsVTypes"/>
</file>