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أكدت العديد من الدراسات أن بيئات العمل التي تنتشر فيها مظاهر التنمر تشهد مستويات مرتفعة من الإجهاد الوظيفي،</w:t>
      </w:r>
    </w:p>
    <w:p>
      <w:pPr/>
      <w:r>
        <w:rPr>
          <w:shd w:val="clear" w:fill="eeee80"/>
        </w:rPr>
        <w:t xml:space="preserve"> وارتفاع معدلات الغياب ودوران العمل،</w:t>
      </w:r>
    </w:p>
    <w:p>
      <w:pPr/>
      <w:r>
        <w:rPr>
          <w:shd w:val="clear" w:fill="eeee80"/>
        </w:rPr>
        <w:t xml:space="preserve"> مما ينعكس على ضعف مستوى الأداء وكفاءته،</w:t>
      </w:r>
    </w:p>
    <w:p>
      <w:pPr/>
      <w:r>
        <w:rPr/>
        <w:t xml:space="preserve"> وفي هذا السیاق وجب معرفة مدى أثر التنمر الإداري على الاحترلق الوظيفي لدى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2026-09-16T22:31:35+00:00</dcterms:created>
  <dcterms:modified xsi:type="dcterms:W3CDTF">2026-09-16T22:31:35+00:00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