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تنفيذ الصفقات والعمليات التجارية بشكل إلكتروني دون الحاجة للاستناد إلى المستندات الورقية.</w:t>
      </w:r>
    </w:p>
    <w:p>
      <w:pPr/>
      <w:r>
        <w:rPr/>
        <w:t xml:space="preserve"> بدءًا من عملية التفاوض وانتهاءً بتسليم البضائع وتحصيل الثمن،</w:t>
      </w:r>
    </w:p>
    <w:p>
      <w:pPr/>
      <w:r>
        <w:rPr>
          <w:shd w:val="clear" w:fill="eeee80"/>
        </w:rPr>
        <w:t xml:space="preserve"> يثير هذا النهج مسألة إثبات صحة العقود والتواقيع الرقمية.</w:t>
      </w:r>
    </w:p>
    <w:p>
      <w:pPr/>
      <w:r>
        <w:rPr>
          <w:shd w:val="clear" w:fill="eeee80"/>
        </w:rPr>
        <w:t xml:space="preserve"> قامت المنظمات الدولية بوضع إطار قانوني خاص بالتجارة الإلكترونية لتوفير الحماية القانونية للأطراف المشاركة في الصفقات الإلكترونية،</w:t>
      </w:r>
    </w:p>
    <w:p>
      <w:pPr/>
      <w:r>
        <w:rPr>
          <w:shd w:val="clear" w:fill="eeee80"/>
        </w:rPr>
        <w:t xml:space="preserve"> تشمل هذه الإجراءات تطبيق التوقيعات الرقمية واعتمادها كوسيلة لتأكيد الموافقة على الصفقات الإلكترونية،</w:t>
      </w:r>
    </w:p>
    <w:p>
      <w:pPr/>
      <w:r>
        <w:rPr>
          <w:shd w:val="clear" w:fill="eeee80"/>
        </w:rPr>
        <w:t xml:space="preserve"> بالإضافة إلى وسائل التحقق والتأكد من صحة هذه التواقيع والصفقات.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2026-10-19T20:13:34+00:00</dcterms:created>
  <dcterms:modified xsi:type="dcterms:W3CDTF">2026-10-19T20:13:34+00:00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