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vision on the gains of women’s acquisition in the decade that preceded it, as its work during that era stipulated increasing the opportunities and fields of work for women, employing women in special departments and specializations, determining the controls for “employing women” in the work system, increasing the strength of new young trainees and health youth, youth employment of women, and expanding the employment of girls. Women wishing to work within the Saudi employment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