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rapportees pour la synthese des bases de Schiff, qui impliquent l'utilisation de des acides Lewis ou de Bronsted-Lowry.Certains communs comme le ZnCl2, TiCl4, MgSO4-PPTS, Ti (OR)4, alumine, H2SO4, NaHCO3, MgS4, Mg (ClO4)2, H3CCOOH, Er (OTf)3,P2O5 / Al2O3 et HCl, en tant que catalyseur (da Silva C.M., 2012, Adams M., 2013, Bhat M.A., 2013, Klemkait-Ramanausk K 2014, Naeimi H, 2006).De nouvelles methodes rentables et efficaces, y compris, hyperfrequence, synthese sans solvant et la synthese a l'etat solide est egalement utilisee et signalee, pour la synthese des bases de Schiff et leur complexes metal (da Silva C.M., 2012, et Thaker B.T., 2011.,et Degirmencioglu I. 2009).Ce bref resume presente l'importance pharmacologie de differents base de Schiff synthetiquesderivees de certains produits naturels ou de precurseurs disponibles dans le commerce et suggerent egalement les perspectives d'avenir des domaines de recherche potentiels.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