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خيانة العهود وتخفي الصداقات الضغائن، حيث تظهر المودة وتختبئ الأنياب. القلب الصادق لا يتأثر بالمكر أو الوعود الزائفة. يؤكد الكاتب أن المجد والعلا لا يُنالان بالأماني، بل بالجد والعمل الدؤوب، فالمجد هو أساس الثناء والمال الحقيقي. ويدعو إلى الاستعداد لمواجهة تحديات الحياة التي تتطلب العمل الجاد.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