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المعالجة المحاسبية عند شراء شركة زميلة وخسائر االنخفاض في القيمة:</w:t>
      </w:r>
    </w:p>
    <w:p>
      <w:pPr/>
      <w:r>
        <w:rPr>
          <w:shd w:val="clear" w:fill="eeee80"/>
        </w:rPr>
        <w:t xml:space="preserve">أ. عند شراء إستثمار معين في شركة زميلة أو مشروع مشترك،</w:t>
      </w:r>
    </w:p>
    <w:p>
      <w:pPr/>
      <w:r>
        <w:rPr>
          <w:shd w:val="clear" w:fill="eeee80"/>
        </w:rPr>
        <w:t xml:space="preserve"> يتم إعتبار الفرق بين تكلفة اإلستثمار وحصة المستثمر في صافي </w:t>
      </w:r>
    </w:p>
    <w:p>
      <w:pPr/>
      <w:r>
        <w:rPr>
          <w:shd w:val="clear" w:fill="eeee80"/>
        </w:rPr>
        <w:t xml:space="preserve">رة موجبة أو شهرة سالبة وذلك وفقاً القيمة العادلة لصافي أصول الشركة الزميلة أو المشروع المشترك والتزامها المحتملة كشه</w:t>
      </w:r>
    </w:p>
    <w:p>
      <w:pPr/>
      <w:r>
        <w:rPr>
          <w:shd w:val="clear" w:fill="eeee80"/>
        </w:rPr>
        <w:t xml:space="preserve">للمعيار الدولي إلعداد التقارير المالية رقم )3( المتعلق "باندماج األعمال" إال أن تلك الشهرة ال تظهر منفصلة في أي من حسابات </w:t>
      </w:r>
    </w:p>
    <w:p>
      <w:pPr/>
      <w:r>
        <w:rPr>
          <w:shd w:val="clear" w:fill="eeee80"/>
        </w:rPr>
        <w:t xml:space="preserve">الشركة المستثمرة أو الشركة المستثمر بها،</w:t>
      </w:r>
    </w:p>
    <w:p>
      <w:pPr/>
      <w:r>
        <w:rPr>
          <w:shd w:val="clear" w:fill="eeee80"/>
        </w:rPr>
        <w:t xml:space="preserve"> تظهر ضمن رصيد اإلستثمار المسجل في دفاتر الشركة المستثمرة.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2026-09-06T06:26:14+00:00</dcterms:created>
  <dcterms:modified xsi:type="dcterms:W3CDTF">2026-09-06T06:26:14+00:00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