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age commonly called Victorian came to an  end about 1885.</w:t>
      </w:r>
    </w:p>
    <w:p>
      <w:pPr/>
      <w:r>
        <w:rPr/>
        <w:t xml:space="preserve"> It was an age distinguished by many true idealists and many false ideals. </w:t>
      </w:r>
    </w:p>
    <w:p>
      <w:pPr/>
      <w:r>
        <w:rPr>
          <w:shd w:val="clear" w:fill="eeee80"/>
        </w:rPr>
        <w:t xml:space="preserve">It was, in spite of its notable artists, on an entirely different level from the epoch which had preceded it. Its poetry was, in the main, not universal but parochial; its romanticism was gilt and tinsel.</w:t>
      </w:r>
    </w:p>
    <w:p>
      <w:pPr/>
      <w:r>
        <w:rPr/>
        <w:t xml:space="preserve"> The  period was full of a pessimistic resignation and a kind of cowardice or at least a negation which, refusing to see any glamour in the actual world, turned to the Middle Ages, King Arthur, the legend of Troy--to the suave surroundings of a dream-world instead of the hard contours of actual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2026-10-13T09:58:01+00:00</dcterms:created>
  <dcterms:modified xsi:type="dcterms:W3CDTF">2026-10-13T09:58:01+00:00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