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MOTIVATION TOWARDS ACHIEVEMENT AND SUCCESSA high score (Decisive) on this dimension indicates that the society will be driven by competition, achievement and success, with success being defined by the winner/ best in field-a value system that starts in school and continues throughout organisational life.</w:t>
      </w:r>
    </w:p>
    <w:p>
      <w:pPr/>
      <w:r>
        <w:rPr>
          <w:shd w:val="clear" w:fill="eeee80"/>
        </w:rPr>
        <w:t xml:space="preserve">A low score (Consensus-oriented) on the dimension means that the dominant values in society are caring for others and quality of life.</w:t>
      </w:r>
    </w:p>
    <w:p>
      <w:pPr/>
      <w:r>
        <w:rPr/>
        <w:t xml:space="preserve"> A Consensus- oriented society is one where quality of life is the sign of success and standing out from the crowd is not admirable. </w:t>
      </w:r>
    </w:p>
    <w:p>
      <w:pPr/>
      <w:r>
        <w:rPr>
          <w:shd w:val="clear" w:fill="eeee80"/>
        </w:rPr>
        <w:t xml:space="preserve">The fundamental Issue here is what motivates people.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wanting to be the best (Decisive) or liking what you do (Consensus-oriented),Morocco gets an intermediate score of 53 on Motivation towards Achievement andSuccess.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Consequently, there is no clearly dominant cultural value.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2026-10-19T10:21:27+00:00</dcterms:created>
  <dcterms:modified xsi:type="dcterms:W3CDTF">2026-10-19T10:21:27+00:00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