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فإن مسألة صيغ المصادر ودلالتها،</w:t>
      </w:r>
    </w:p>
    <w:p>
      <w:pPr/>
      <w:r>
        <w:rPr>
          <w:shd w:val="clear" w:fill="eeee80"/>
        </w:rPr>
        <w:t xml:space="preserve"> سواء المصادر السماعية أو القياسية،</w:t>
      </w:r>
    </w:p>
    <w:p>
      <w:pPr/>
      <w:r>
        <w:rPr/>
        <w:t xml:space="preserve"> تُعد من القضايا المحورية في علم الصرف العربي،</w:t>
      </w:r>
    </w:p>
    <w:p>
      <w:pPr/>
      <w:r>
        <w:rPr>
          <w:shd w:val="clear" w:fill="eeee80"/>
        </w:rPr>
        <w:t xml:space="preserve"> لما لها من أثر كبير في فهم بنية الكلمة العربية ومعانيها.</w:t>
      </w:r>
    </w:p>
    <w:p>
      <w:pPr/>
      <w:r>
        <w:rPr/>
        <w:t xml:space="preserve"> فالمصدر هو الأصل الذي تتفرع منه الأفعال والمشتقات المختلفة، وهو حلقة الوصل بين المبنى والمعنى.</w:t>
      </w:r>
    </w:p>
    <w:p>
      <w:pPr/>
      <w:r>
        <w:rPr>
          <w:shd w:val="clear" w:fill="eeee80"/>
        </w:rPr>
        <w:t xml:space="preserve"> وقد أولى علماء العربية هذه الظاهرة اهتمامًا بالغًا؛</w:t>
      </w:r>
    </w:p>
    <w:p>
      <w:pPr/>
      <w:r>
        <w:rPr>
          <w:shd w:val="clear" w:fill="eeee80"/>
        </w:rPr>
        <w:t xml:space="preserve"> لما تحمله من تنوع في الصيغ والدلالات،</w:t>
      </w:r>
    </w:p>
    <w:p>
      <w:pPr/>
      <w:r>
        <w:rPr>
          <w:shd w:val="clear" w:fill="eeee80"/>
        </w:rPr>
        <w:t xml:space="preserve"> إذ إن لكل صيغة مصدرية ما يقابلها من دلالة محددة تنعكس على استعمالها في السياق.</w:t>
      </w:r>
    </w:p>
    <w:p>
      <w:pPr/>
      <w:r>
        <w:rPr>
          <w:shd w:val="clear" w:fill="eeee80"/>
        </w:rPr>
        <w:t xml:space="preserve">ويُمكن القول إن دراسة صيغ المصادر تُظهر العلاقة الوطيدة بين الشكل الصرفي والمعنى الدلالي.</w:t>
      </w:r>
    </w:p>
    <w:p>
      <w:pPr/>
      <w:r>
        <w:rPr/>
        <w:t xml:space="preserve"> فبعض المصادر تأتي قياسية وفق أوزان محددة يمكن رد الأفعال إليها واشتقاق مصادرها منها،</w:t>
      </w:r>
    </w:p>
    <w:p>
      <w:pPr/>
      <w:r>
        <w:rPr>
          <w:shd w:val="clear" w:fill="eeee80"/>
        </w:rPr>
        <w:t xml:space="preserve"> خاصة في الأفعال الرباعية والخماسية والسداسية.</w:t>
      </w:r>
    </w:p>
    <w:p>
      <w:pPr/>
      <w:r>
        <w:rPr>
          <w:shd w:val="clear" w:fill="eeee80"/>
        </w:rPr>
        <w:t xml:space="preserve"> فهي الأكثر تنوعًا وغزارة في صيغ مصادرها،</w:t>
      </w:r>
    </w:p>
    <w:p>
      <w:pPr/>
      <w:r>
        <w:rPr/>
        <w:t xml:space="preserve"> إذ يأتي بعضها قياسيًا على أوزان معروفة مثل “فَعْل” و”فُعُول”،</w:t>
      </w:r>
    </w:p>
    <w:p>
      <w:pPr/>
      <w:r>
        <w:rPr>
          <w:shd w:val="clear" w:fill="eeee80"/>
        </w:rPr>
        <w:t xml:space="preserve"> وبعضها سماعيًا مما يُنقل عن العرب ولا يُقاس عليه.</w:t>
      </w:r>
    </w:p>
    <w:p>
      <w:pPr/>
      <w:r>
        <w:rPr/>
        <w:t xml:space="preserve">وقد اعتنى عدد من العلماء والمحققين المعاصرين بهذه الظاهرة الصرفية،</w:t>
      </w:r>
    </w:p>
    <w:p>
      <w:pPr/>
      <w:r>
        <w:rPr>
          <w:shd w:val="clear" w:fill="eeee80"/>
        </w:rPr>
        <w:t xml:space="preserve"> ومنهم الدكتور رمضان عبد التواب الذي عرّف المصدر بأنه “الاسم الدال على الحدث مجردًا عن الزمان” (عبد التواب،</w:t>
      </w:r>
    </w:p>
    <w:p>
      <w:pPr/>
      <w:r>
        <w:rPr/>
        <w:t xml:space="preserve"> والدكتور تمام حسان الذي أكّد أن المصدر “اسم يدل على حدث مجرد من الزمان والمكان” (حسان،وتبرز أهمية هذا البحث في تتبّع صيغ مصادر الأفعال الثلاثية،</w:t>
      </w:r>
    </w:p>
    <w:p>
      <w:pPr/>
      <w:r>
        <w:rPr>
          <w:shd w:val="clear" w:fill="eeee80"/>
        </w:rPr>
        <w:t xml:space="preserve"> وبيان ما جاء منها قياسيًا بحسب القواعد الثابتة التي قررها سيبويه وابن مالك وغيرهما،</w:t>
      </w:r>
    </w:p>
    <w:p>
      <w:pPr/>
      <w:r>
        <w:rPr>
          <w:shd w:val="clear" w:fill="eeee80"/>
        </w:rPr>
        <w:t xml:space="preserve"> وما جاء سماعيًا كما ورد عن العرب،</w:t>
      </w:r>
    </w:p>
    <w:p>
      <w:pPr/>
      <w:r>
        <w:rPr>
          <w:shd w:val="clear" w:fill="eeee80"/>
        </w:rPr>
        <w:t xml:space="preserve"> مع توضيح دلالات هذه الصيغ في سياقاتها المختلفة.</w:t>
      </w:r>
    </w:p>
    <w:p>
      <w:pPr/>
      <w:r>
        <w:rPr/>
        <w:t xml:space="preserve"> وقد وُجد أن الأوزان تتباين من حيث ثبات المعنى وتجدده،</w:t>
      </w:r>
    </w:p>
    <w:p>
      <w:pPr/>
      <w:r>
        <w:rPr>
          <w:shd w:val="clear" w:fill="eeee80"/>
        </w:rPr>
        <w:t xml:space="preserve"> فمثلاً: صيغة فَعْل تدل غالبًا على مجرد الحدث،</w:t>
      </w:r>
    </w:p>
    <w:p>
      <w:pPr/>
      <w:r>
        <w:rPr>
          <w:shd w:val="clear" w:fill="eeee80"/>
        </w:rPr>
        <w:t xml:space="preserve"> وفُعُول تفيد كثرة وتكرارًا،</w:t>
      </w:r>
    </w:p>
    <w:p>
      <w:pPr/>
      <w:r>
        <w:rPr>
          <w:shd w:val="clear" w:fill="eeee80"/>
        </w:rPr>
        <w:t xml:space="preserve">وإزاء هذا التنوع الصيغي والدلالي،</w:t>
      </w:r>
    </w:p>
    <w:p>
      <w:pPr/>
      <w:r>
        <w:rPr/>
        <w:t xml:space="preserve"> تصبح دراسة المصادر مجالًا ثريًا يكشف عن خصوصية العربية ودقة نظامها الصرفي،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2026-08-27T03:25:21+00:00</dcterms:created>
  <dcterms:modified xsi:type="dcterms:W3CDTF">2026-08-27T03:25:21+00:00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