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الإعتماد بهذه النظرية بصفة مطلقة، لأن الإلتزام بحفظ السرية في بعضالمهن يكون عن طريق تعاقدي بين المودع لديه و الأمين كعقود المقاولة مثلا،</w:t>
      </w:r>
    </w:p>
    <w:p>
      <w:pPr/>
      <w:r>
        <w:rPr>
          <w:shd w:val="clear" w:fill="eeee80"/>
        </w:rPr>
        <w:t xml:space="preserve">الأخرى كالمحامات و الطب التي لا يمكنها اإلعتماد على هذه النظرية كأساس للإلتزام بالسرية</w:t>
      </w:r>
    </w:p>
    <w:p>
      <w:pPr/>
      <w:r>
        <w:rPr>
          <w:shd w:val="clear" w:fill="eeee80"/>
        </w:rPr>
        <w:t xml:space="preserve">نظرا لما يترتب عنها من عواقب و خيمة خاصة و أن المصلحة العامة أو لى بالرعاية و الحماية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2026-10-15T06:04:52+00:00</dcterms:created>
  <dcterms:modified xsi:type="dcterms:W3CDTF">2026-10-15T06:04:52+00:00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