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تحتل القروض موقعا هاما ضمن بنود المركز المالي باعتبار ان كافة الجهود و القرارات الادارية تستهدف في المقام الاول بناء محفظة قروض و تسهيلات جيدة تتسم بالجودة العالية و تحقق عوائد مرتفعة للمصرف عند اقل مستوى ممكن من المخاطر ،</w:t>
      </w:r>
    </w:p>
    <w:p>
      <w:pPr/>
      <w:r>
        <w:rPr/>
        <w:t xml:space="preserve"> كما تعتبر القروض المورد الاساسي الذي يعتمد عليه المصرف في الحصول على ايراداته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2026-11-06T12:31:05+00:00</dcterms:created>
  <dcterms:modified xsi:type="dcterms:W3CDTF">2026-11-06T12:31:05+00:00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