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تحتل القروض موقعا هاما ضمن بنود المركز المالي باعتبار ان كافة الجهود و القرارات الادارية تستهدف في المقام الاول بناء محفظة قروض و تسهيلات جيدة تتسم بالجودة العالية و تحقق عوائد مرتفعة للمصرف عند اقل مستوى ممكن من المخاطر ،</w:t>
      </w:r>
    </w:p>
    <w:p>
      <w:pPr/>
      <w:r>
        <w:rPr/>
        <w:t xml:space="preserve"> كما تعتبر القروض المورد الاساسي الذي يعتمد عليه المصرف في الحصول على ايراداته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2026-10-07T14:06:46+00:00</dcterms:created>
  <dcterms:modified xsi:type="dcterms:W3CDTF">2026-10-07T14:06:46+00:00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