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نقص كبير في البنية التحتية لمعظم الدول النامية،</w:t>
      </w:r>
    </w:p>
    <w:p>
      <w:pPr/>
      <w:r>
        <w:rPr/>
        <w:t xml:space="preserve"> حيث تفتقر إلى الإمكانيات والموارد المالية اللازمة لتطوير التعليم الرقمي.</w:t>
      </w:r>
    </w:p>
    <w:p>
      <w:pPr/>
      <w:r>
        <w:rPr>
          <w:shd w:val="clear" w:fill="eeee80"/>
        </w:rPr>
        <w:t xml:space="preserve"> هذا النوع من التعليم يتطلب اتصالاً سريعاً بالإنترنت وأجهزة كمبيوتر ووسائل اتصال متنوعة،</w:t>
      </w:r>
    </w:p>
    <w:p>
      <w:pPr/>
      <w:r>
        <w:rPr>
          <w:shd w:val="clear" w:fill="eeee80"/>
        </w:rPr>
        <w:t xml:space="preserve"> ولكن الجامعات الجزائرية تعاني من نقص كبير في هذه الوسائل،</w:t>
      </w:r>
    </w:p>
    <w:p>
      <w:pPr/>
      <w:r>
        <w:rPr/>
        <w:t xml:space="preserve"> مما يجعل من الصعب على الطلاب والأساتذة استخدامها.</w:t>
      </w:r>
    </w:p>
    <w:p>
      <w:pPr/>
      <w:r>
        <w:rPr>
          <w:shd w:val="clear" w:fill="eeee80"/>
        </w:rPr>
        <w:t xml:space="preserve">إن تصميم وإنتاج البرمجيات التعليمية يتطلب تكلفة عالية،</w:t>
      </w:r>
    </w:p>
    <w:p>
      <w:pPr/>
      <w:r>
        <w:rPr/>
        <w:t xml:space="preserve"> ولكن الجامعات الجزائرية غير قادرة على تحمل هذه التكاليف.</w:t>
      </w:r>
    </w:p>
    <w:p>
      <w:pPr/>
      <w:r>
        <w:rPr>
          <w:shd w:val="clear" w:fill="eeee80"/>
        </w:rPr>
        <w:t xml:space="preserve"> كما أن هناك نقص كبير في الدورات التدريبية والتكنولوجيات الحديثة التي يتم التحكم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2026-10-01T03:59:37+00:00</dcterms:created>
  <dcterms:modified xsi:type="dcterms:W3CDTF">2026-10-01T03:59:37+00:00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