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تغيرت صناعة البنوك إلى العصر الرقمي بشكل كبيرو سريع خلال السنوات الأخيرة،</w:t>
      </w:r>
    </w:p>
    <w:p>
      <w:pPr/>
      <w:r>
        <w:rPr>
          <w:shd w:val="clear" w:fill="eeee80"/>
        </w:rPr>
        <w:t xml:space="preserve"> حيث التقدم التكنولوجي قد أدى إلى تحول جذري في طريقة تقديم الخدمات المصرفية وإدارة الأعمال المالية لها.</w:t>
      </w:r>
    </w:p>
    <w:p>
      <w:pPr/>
      <w:r>
        <w:rPr>
          <w:shd w:val="clear" w:fill="eeee80"/>
        </w:rPr>
        <w:t xml:space="preserve"> وإحدى النتائج الرئيسية لهذا التحول الرقمي هي تأثيره على أداء البنوك المالي.</w:t>
      </w:r>
    </w:p>
    <w:p>
      <w:pPr/>
      <w:r>
        <w:rPr>
          <w:shd w:val="clear" w:fill="eeee80"/>
        </w:rPr>
        <w:t xml:space="preserve"> حيث يعتبر الأداء المالي مؤشرًا حاسمًا لصحة ونجاح البنوك.</w:t>
      </w:r>
    </w:p>
    <w:p>
      <w:pPr/>
      <w:r>
        <w:rPr>
          <w:shd w:val="clear" w:fill="eeee80"/>
        </w:rPr>
        <w:t xml:space="preserve"> يقاس الأداء المالي عادة عن طريق تحليل مجموعة من المؤشرات المالية.</w:t>
      </w:r>
    </w:p>
    <w:p>
      <w:pPr/>
      <w:r>
        <w:rPr>
          <w:shd w:val="clear" w:fill="eeee80"/>
        </w:rPr>
        <w:t xml:space="preserve"> حيث يهدف التحول الرقمي إلى تعزيز هذه المؤشرات وتحسين أداء البنوك بشكل عام.</w:t>
      </w:r>
    </w:p>
    <w:p>
      <w:pPr/>
      <w:r>
        <w:rPr>
          <w:shd w:val="clear" w:fill="eeee80"/>
        </w:rPr>
        <w:t xml:space="preserve"> وقد يؤثر التحول الرقمي بشكل كبير على أداء البنوك المالي.</w:t>
      </w:r>
    </w:p>
    <w:p>
      <w:pPr/>
      <w:r>
        <w:rPr>
          <w:shd w:val="clear" w:fill="eeee80"/>
        </w:rPr>
        <w:t xml:space="preserve"> حيث ان الابتكارات التقنية مثل التطبيقات المصرفية عبر الهاتف المحمول والخدمات المصرفية عبر الإنترنت لكي تمكن العملاء من الوصول إلى حساباتهم المصرفية وإجراء المعاملات بسرعة وبشكل سهل دون الحاجة إلى ذهاب الى مكاتب البنكية التقليدية.</w:t>
      </w:r>
    </w:p>
    <w:p>
      <w:pPr/>
      <w:r>
        <w:rPr>
          <w:shd w:val="clear" w:fill="eeee80"/>
        </w:rPr>
        <w:t xml:space="preserve"> هذا ما يحسن تجربة العملاء لزيادة رضاهم واستقطاب عملاء جدد.</w:t>
      </w:r>
    </w:p>
    <w:p>
      <w:pPr/>
      <w:r>
        <w:rPr>
          <w:shd w:val="clear" w:fill="eeee80"/>
        </w:rPr>
        <w:t xml:space="preserve">  وقد يساهم التحول الرقمي في تقليل التكاليف التشغيلية للبنوك،</w:t>
      </w:r>
    </w:p>
    <w:p>
      <w:pPr/>
      <w:r>
        <w:rPr>
          <w:shd w:val="clear" w:fill="eeee80"/>
        </w:rPr>
        <w:t xml:space="preserve"> حيث يمكن للبنوك تحسين كفاءة العمليات وتقليل الاعتماد على العمالة البشرية بشكل كبير.</w:t>
      </w:r>
    </w:p>
    <w:p>
      <w:pPr/>
      <w:r>
        <w:rPr>
          <w:shd w:val="clear" w:fill="eeee80"/>
        </w:rPr>
        <w:t xml:space="preserve"> وكذلك تحسين عمليات التحصيل وإدارة المخاطر باستخدام الذكاء الاصطناعي ومختلف التقنيات التكنولوجية.</w:t>
      </w:r>
    </w:p>
    <w:p>
      <w:pPr/>
      <w:r>
        <w:rPr>
          <w:shd w:val="clear" w:fill="eeee80"/>
        </w:rPr>
        <w:t xml:space="preserve"> كما يساعد التحول الرقمي البنوك على تقديم خدماتها ومنتجات جديدة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2026-10-04T07:14:58+00:00</dcterms:created>
  <dcterms:modified xsi:type="dcterms:W3CDTF">2026-10-04T07:14:58+00:00</dcterms:modified>
</cp:coreProperties>
</file>

<file path=docProps/custom.xml><?xml version="1.0" encoding="utf-8"?>
<Properties xmlns="http://schemas.openxmlformats.org/officeDocument/2006/custom-properties" xmlns:vt="http://schemas.openxmlformats.org/officeDocument/2006/docPropsVTypes"/>
</file>