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primary clinical endpoint was the fasting insulin level and the homeostatic model assessment of insulin resistance (HOMA-IR) index. The secondary endpoint was the oral glucose tolerance test (OGTT). </w:t>
      </w:r>
    </w:p>
    <w:p>
      <w:pPr/>
      <w:r>
        <w:rPr>
          <w:shd w:val="clear" w:fill="eeee80"/>
        </w:rPr>
        <w:t xml:space="preserve">These are clinical measures used to assess insulin resistance and glucose metabolism.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2026-10-07T12:12:33+00:00</dcterms:created>
  <dcterms:modified xsi:type="dcterms:W3CDTF">2026-10-07T12:12:33+00:00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