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وحــیث أنــه مــن المســلم بــه أن الــسمات الإنــسانــیة لا تــقاس بــصورة مــباش رة،</w:t>
      </w:r>
    </w:p>
    <w:p>
      <w:pPr/>
      <w:r>
        <w:rPr>
          <w:shd w:val="clear" w:fill="eeee80"/>
        </w:rPr>
        <w:t xml:space="preserve"> ومــن ثــم فــإن بــنود الاخــتبار تــقیس فــي الواقــع عــینة مــن الســلوك تــعكس الــسمة</w:t>
      </w:r>
    </w:p>
    <w:p>
      <w:pPr/>
      <w:r>
        <w:rPr>
          <w:shd w:val="clear" w:fill="eeee80"/>
        </w:rPr>
        <w:t xml:space="preserve"> مـن هـنا تـبرز الـحاجـة إلـى نـظریـات تـمكن مـن تـحویـل عـینات السـلوك الـمقاسـة إلـى</w:t>
      </w:r>
    </w:p>
    <w:p>
      <w:pPr/>
      <w:r>
        <w:rPr/>
        <w:t xml:space="preserve">درجات تكشف عن الفروق بین الأفراد في هذه السمات (الزیات،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2026-10-10T10:02:04+00:00</dcterms:created>
  <dcterms:modified xsi:type="dcterms:W3CDTF">2026-10-10T10:02:04+00:00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