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تُعد حماية حقوق العملاء من الأهداف الرئيسة للبنك المركزي،</w:t>
      </w:r>
    </w:p>
    <w:p>
      <w:pPr/>
      <w:r>
        <w:rPr>
          <w:shd w:val="clear" w:fill="eeee80"/>
        </w:rPr>
        <w:t xml:space="preserve"> وقد تضمنت قواعد الحسابات البنكية  عدد من الأحكام التي تهدف إلى حماية حقوق العميل فيما يتصل بحساباته البنكية وذلك دون إخلال بأحكام الأنظمة واللوائح ذات الصلة،</w:t>
      </w:r>
    </w:p>
    <w:p>
      <w:pPr/>
      <w:r>
        <w:rPr>
          <w:shd w:val="clear" w:fill="eeee80"/>
        </w:rPr>
        <w:t xml:space="preserve"> حيث تضمّنت القواعد أحكاماً متصلة بحماية بيانات العملاء والحفاظ على سريتها ،</w:t>
      </w:r>
    </w:p>
    <w:p>
      <w:pPr/>
      <w:r>
        <w:rPr/>
        <w:t xml:space="preserve">وكذلك أوضحت القواعد إمكانية فتح الحساب البنكي دون اشتراط إيداع أية مبالغ مالية فيه،</w:t>
      </w:r>
    </w:p>
    <w:p>
      <w:pPr/>
      <w:r>
        <w:rPr>
          <w:shd w:val="clear" w:fill="eeee80"/>
        </w:rPr>
        <w:t xml:space="preserve"> وذلك خلال مهلة محددة بيوم عمل بالنسبة للحسابات التي لم تتضمن متطلباتها الحصول على موافقة الإدارات المعنيّة في البنك،</w:t>
      </w:r>
    </w:p>
    <w:p>
      <w:pPr/>
      <w:r>
        <w:rPr/>
        <w:t xml:space="preserve">  كما تُلزم القواعد البنوك بوجوب إشعار العملاء بتاريخ تجميد الحساب -بسبب انتهاء الهوية أو عدم تحديث معلومات الحساب- قبل مدة (30) يوماً على الأقل من تاريخ التجميد،</w:t>
      </w:r>
    </w:p>
    <w:p>
      <w:pPr/>
      <w:r>
        <w:rPr>
          <w:shd w:val="clear" w:fill="eeee80"/>
        </w:rPr>
        <w:t xml:space="preserve"> وما سبق أمثلة  لبعض الأحكام التي تضمّنتها القواعد بهدف حماية حقوق العملاء.</w:t>
      </w:r>
    </w:p>
    <w:p>
      <w:pPr/>
      <w:r>
        <w:rPr/>
        <w:t xml:space="preserve">ومتابعة التطورات والتوجهات التي تحدث في القطاع المالي وتحديد أولويات وسلوك المستفيدين من الخدمات المالية,</w:t>
      </w:r>
    </w:p>
    <w:p>
      <w:pPr/>
      <w:r>
        <w:rPr>
          <w:shd w:val="clear" w:fill="eeee80"/>
        </w:rPr>
        <w:t xml:space="preserve"> وتطوير التعليمات الخاصة بحماية العميل,</w:t>
      </w:r>
    </w:p>
    <w:p>
      <w:pPr/>
      <w:r>
        <w:rPr>
          <w:shd w:val="clear" w:fill="eeee80"/>
        </w:rPr>
        <w:t xml:space="preserve"> التأكد من التزام كافة المؤسسات المالية بالسياسات ضمن نطاق مهام حماية العملاءو استقبال وبحث شكاوى عملاء مختلف المؤسسات المالية وعلى سبيل المثال :</w:t>
      </w:r>
    </w:p>
    <w:p>
      <w:pPr/>
      <w:r>
        <w:rPr>
          <w:shd w:val="clear" w:fill="eeee80"/>
        </w:rPr>
        <w:t xml:space="preserve">1. استقرار ونمو القطاع البنكي،</w:t>
      </w:r>
    </w:p>
    <w:p>
      <w:pPr/>
      <w:r>
        <w:rPr/>
        <w:t xml:space="preserve"> وتحفيز الاستثمار فيه،</w:t>
      </w:r>
    </w:p>
    <w:p>
      <w:pPr/>
      <w:r>
        <w:rPr>
          <w:shd w:val="clear" w:fill="eeee80"/>
        </w:rPr>
        <w:t xml:space="preserve">2. وضع الإطار النظامي لممارسة الأعمال البنكية.</w:t>
      </w:r>
    </w:p>
    <w:p>
      <w:pPr/>
      <w:r>
        <w:rPr>
          <w:shd w:val="clear" w:fill="eeee80"/>
        </w:rPr>
        <w:t xml:space="preserve">3. تعزيز حماية ودائع وأموال وحقوق ومصالح المودعين والعملاء ومعلوماتهم.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2026-10-09T11:12:00+00:00</dcterms:created>
  <dcterms:modified xsi:type="dcterms:W3CDTF">2026-10-09T11:12:00+00:00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