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Methodology.</w:t>
      </w:r>
    </w:p>
    <w:p>
      <w:pPr/>
      <w:r>
        <w:rPr/>
        <w:t xml:space="preserve"> The main objective of SSA is to decompose the original series into a sum of series; thus, each component can be identified as a trend, periodic, quasi-periodic, or noise [49]. Four steps are conducted, namely transformation, decomposition, grouping, and reconstruction [50]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2026-10-19T00:43:18+00:00</dcterms:created>
  <dcterms:modified xsi:type="dcterms:W3CDTF">2026-10-19T00:43:18+00:00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