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	</w:t>
      </w:r>
    </w:p>
    <w:p>
      <w:pPr/>
      <w:r>
        <w:rPr>
          <w:shd w:val="clear" w:fill="eeee80"/>
        </w:rPr>
        <w:t xml:space="preserve">Political Metaphor and its Persuasive Power2.</w:t>
      </w:r>
    </w:p>
    <w:p>
      <w:pPr/>
      <w:r>
        <w:rPr/>
        <w:t xml:space="preserve">	</w:t>
      </w:r>
    </w:p>
    <w:p>
      <w:pPr/>
      <w:r>
        <w:rPr>
          <w:shd w:val="clear" w:fill="eeee80"/>
        </w:rPr>
        <w:t xml:space="preserve">Penninck (2014) suggests that metaphor is a highly used as rhetorical instrument in crisis speech.</w:t>
      </w:r>
    </w:p>
    <w:p>
      <w:pPr/>
      <w:r>
        <w:rPr/>
        <w:t xml:space="preserve"> Lakoff (1993: 1) states that "in classical theories of language, metaphor was seen as a matter of language not thought." That is metaphorical expressions relate exclusively to everyday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2026-09-05T14:53:08+00:00</dcterms:created>
  <dcterms:modified xsi:type="dcterms:W3CDTF">2026-09-05T14:53:08+00:00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