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لمزاج الفاتيكان الإصلاحي - بالنسبة إلى بعض المشاركين، عندما طرح حق الإجهاض وتحرير الطلاق للتصويت بعد سنوات قليلة في بلدان ذات أغلبية كاثوليكية مثل إيطاليا، الكنيسة بمعارضتها إلى أقصى حد،  في مجتمع قطع شو طًا من الطريق نحو مرحلة "ما بعد ديني"،  وحاولت الاستفادة منه إلى أقصى حد ) 176  وأقلية ناطقة بالألمانية في أوروبا الغربية، تحرير المواطن من السلطة الأخلاقية التقليدية بالضرورة أوسع انتشا رًا، حدث بصورة أكثر حس مًا. على المواطن البريطاني حتى نهاية الخمسينيات، أولياؤهم "فح شً ا" أو حسا سًا من الناحية السياسية؛ والطلاق من دون صعوبة هائلة وإذلال علني.  وفي حال ارتكاب جريمة قتل أو ثم بدأت في عام 1959 ،  كُبكوبة خيوط الأعراف بالانحلال. المطبوعات الإباحية في ذلك العام،  لزم حماية أي عمل أدبي للراشدين غير خاضع للرقابة من تهم "الإباحية" إذا عُد "في مصلحة العلم أو الأدب أو الفن أو  وأصبح بإمكان الناشرين والمؤلفين من تلك اللحظة فصاع دًا أن يدافعوا عن أنفسهم في المحكمة متذرعين بقيمة العمل بمجمله، Lady Chatterley’s Lover( الشهير عبر قضية أثارتها رواية عشيق السيدة تشاترلي  ه. ذلك. لأنها عرضت لهم مقاطع فاحشة فحسب،  بل وبسبب الإثارة الجنسية بين الطبقات الاجتماعية التي بنيت الرواية على سوء سمعتها.  وأجاب أحد الشهود، خادمته )كذا(، حارس طرائده. بُرئت ساحة دار بنغوين للكتب من تهمة نشر الرذيلة، من الخبراء للدفاع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