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النيابة العامة المحترم،  -تحية طيبة- وبعد،  حامل الهوية رقم (1019925690)، 000 ريال سعودي)،  وقد اكتسب الحكم الصفة القطعية بعد انقضاء مدة الاعتراض القانونية.  وبعد مباشرة إجراءات التنفيذ،  وعند التواصل مع المشتري،  السيد أبو طلال السلمي (جوال: 0506582208)،  أفاد بأن البائع يحمل الجنسية الباكستانية،  خاصة وأنني قد ذكرت سابقا وجود شخص باكستاني يدعي الشراكة مع المدعى عليه.  وقد تقدمت بشكوى لمحكمة التنفيذ بهذا الخصوص،  وأفادوا بضرورة تقديم بلاغ للنيابة العامة لاتخاذ الإجراءات القانونية وفقا للمادة (87) من نظام التنفيذ،  والتي تنص على تجريم تهرب المدين من التنفيذ أو إخفاء أمواله،  ألتمس من سعادتكم ما يلي: 1.  التحقيق في عملية بيع الأراضي المذكورة،  والتحقق من احتمال تهريب أموال المدين لضمان تنفيذ الحكم القضائي.  المرفقات:- صورة من صك الحكم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