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وقد انتقد مبدا الشرعية من ناحية ثانية بالنظر لما يؤدي إليه من تقييد القاضي فيما يتعلق بشق الجزاء في نص التجريم ، فالتمسة بحرفية العقوبة المنصوص عليها يتعارض وفقا لهذا الراي مع ضرورات التفريد العقابي والاهتمام بشخصية الجاني وصروزة ارتكابه للجريمة . إذ لا يملك القاضي ان ياخذ في تطبيقه العقوبة المقررة بهذا الاعتبارات لانه مفيد ابتداءا بحدود النص .يفترض الجريمة كيانا قانونيا موجودا عن شخص مرتكبها ،</w:t>
      </w:r>
    </w:p>
    <w:p>
      <w:pPr/>
      <w:r>
        <w:rPr>
          <w:shd w:val="clear" w:fill="eeee80"/>
        </w:rPr>
        <w:t xml:space="preserve"> و،</w:t>
      </w:r>
    </w:p>
    <w:p>
      <w:pPr/>
      <w:r>
        <w:rPr>
          <w:shd w:val="clear" w:fill="eeee80"/>
        </w:rPr>
        <w:t xml:space="preserve"> ويحدد العقوبة وفق اضرارها المادية لا وفق الخطورة الكامنة في شخص مرتكبها ،</w:t>
      </w:r>
    </w:p>
    <w:p>
      <w:pPr/>
      <w:r>
        <w:rPr>
          <w:shd w:val="clear" w:fill="eeee80"/>
        </w:rPr>
        <w:t xml:space="preserve"> ذالك ان الشارع يضع نصوصا يحدد فيها العقوبة على لقدر حسانة الجريمة ،</w:t>
      </w:r>
    </w:p>
    <w:p>
      <w:pPr/>
      <w:r>
        <w:rPr/>
        <w:t xml:space="preserve"> وليس في وسعها ان يجعل العقوبة ملائمة لظروف مرتكبها ،</w:t>
      </w:r>
    </w:p>
    <w:p>
      <w:pPr/>
      <w:r>
        <w:rPr>
          <w:shd w:val="clear" w:fill="eeee80"/>
        </w:rPr>
        <w:t xml:space="preserve"> وهذا النظر غير صائب .</w:t>
      </w:r>
    </w:p>
    <w:p>
      <w:pPr/>
      <w:r>
        <w:rPr>
          <w:shd w:val="clear" w:fill="eeee80"/>
        </w:rPr>
        <w:t xml:space="preserve"> إذ يتعين ان تتجه العقوبة إلى شخص المجرم لتواجه خطورته .</w:t>
      </w:r>
    </w:p>
    <w:p>
      <w:pPr/>
      <w:r>
        <w:rPr>
          <w:shd w:val="clear" w:fill="eeee80"/>
        </w:rPr>
        <w:t xml:space="preserve"> ويقضي ذالك ان يتحرر القاضي من تحكم النص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2026-10-20T22:22:40+00:00</dcterms:created>
  <dcterms:modified xsi:type="dcterms:W3CDTF">2026-10-20T22:22:40+00:00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