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 تندرج بلدان التكتل الإقليمي لاتحاد المغرب العربي ضمن البلدان في طور الإندماج فني ترتبط بالمجال العالمي من خلال حركة المبادلات التجارية .</w:t>
      </w:r>
    </w:p>
    <w:p>
      <w:pPr/>
      <w:r>
        <w:rPr/>
        <w:t xml:space="preserve"> والمالية خاصة مع دول الثالوث العالمي ) الولايات المتحدة الأمريكية ) ) الاتحاد الأوروبي واليابان) ومع الاقطاب الثاني الثانوية والدول الصاعدة الصين والهند و البرازيل روسيا 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2026-09-04T16:10:16+00:00</dcterms:created>
  <dcterms:modified xsi:type="dcterms:W3CDTF">2026-09-04T16:10:16+00:00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