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المادة 23 من القانون رقم 03-10 لسنة 19 جمادى الأولى 1424</w:t>
      </w:r>
    </w:p>
    <w:p>
      <w:pPr/>
      <w:r>
        <w:rPr>
          <w:shd w:val="clear" w:fill="eeee80"/>
        </w:rPr>
        <w:t xml:space="preserve">المرسوم إلى وضع تسمية</w:t>
      </w:r>
    </w:p>
    <w:p>
      <w:pPr/>
      <w:r>
        <w:rPr>
          <w:shd w:val="clear" w:fill="eeee80"/>
        </w:rPr>
        <w:t xml:space="preserve">أ- تخصيص رقم مكون من أربعة أرقام</w:t>
      </w:r>
    </w:p>
    <w:p>
      <w:pPr/>
      <w:r>
        <w:rPr>
          <w:shd w:val="clear" w:fill="eeee80"/>
        </w:rPr>
        <w:t xml:space="preserve">النشاط.</w:t>
      </w:r>
    </w:p>
    <w:p>
      <w:pPr/>
      <w:r>
        <w:rPr>
          <w:shd w:val="clear" w:fill="eeee80"/>
        </w:rPr>
        <w:t xml:space="preserve">النشاط.</w:t>
      </w:r>
    </w:p>
    <w:p>
      <w:pPr/>
      <w:r>
        <w:rPr>
          <w:shd w:val="clear" w:fill="eeee80"/>
        </w:rPr>
        <w:t xml:space="preserve">ب- تحديد نشاط المنشأة المصنفة؛</w:t>
      </w:r>
    </w:p>
    <w:p>
      <w:pPr/>
      <w:r>
        <w:rPr>
          <w:shd w:val="clear" w:fill="eeee80"/>
        </w:rPr>
        <w:t xml:space="preserve"> وفقًا لأحكام المرسوم</w:t>
      </w:r>
    </w:p>
    <w:p>
      <w:pPr/>
      <w:r>
        <w:rPr>
          <w:shd w:val="clear" w:fill="eeee80"/>
        </w:rPr>
        <w:t xml:space="preserve">المنشأة المصنفة؛</w:t>
      </w:r>
    </w:p>
    <w:p>
      <w:pPr/>
      <w:r>
        <w:rPr>
          <w:shd w:val="clear" w:fill="eeee80"/>
        </w:rPr>
        <w:t xml:space="preserve">هـ- المستندات المطلوب إرفاقها بطلب</w:t>
      </w:r>
    </w:p>
    <w:p>
      <w:pPr/>
      <w:r>
        <w:rPr>
          <w:shd w:val="clear" w:fill="eeee80"/>
        </w:rPr>
        <w:t xml:space="preserve">وإشعار الأثر البيئي</w:t>
      </w:r>
    </w:p>
    <w:p>
      <w:pPr/>
      <w:r>
        <w:rPr>
          <w:shd w:val="clear" w:fill="eeee80"/>
        </w:rPr>
        <w:t xml:space="preserve">وتقرير المنتجات الخطرة.</w:t>
      </w:r>
    </w:p>
    <w:p>
      <w:pPr/>
      <w:r>
        <w:rPr>
          <w:shd w:val="clear" w:fill="eeee80"/>
        </w:rPr>
        <w:t xml:space="preserve">للجمهورية الجزائرية الديمقراطية</w:t>
      </w:r>
    </w:p>
    <w:p>
      <w:pPr/>
      <w:r>
        <w:rPr>
          <w:shd w:val="clear" w:fill="eeee80"/>
        </w:rPr>
        <w:t xml:space="preserve">والجريدة الشعبية.</w:t>
      </w:r>
    </w:p>
    <w:p>
      <w:pPr/>
      <w:r>
        <w:rPr>
          <w:shd w:val="clear" w:fill="eeee80"/>
        </w:rPr>
        <w:t xml:space="preserve">أولاً: التعاريف</w:t>
      </w:r>
    </w:p>
    <w:p>
      <w:pPr/>
      <w:r>
        <w:rPr>
          <w:shd w:val="clear" w:fill="eeee80"/>
        </w:rPr>
        <w:t xml:space="preserve">لأغراض هذا الملحق،</w:t>
      </w:r>
    </w:p>
    <w:p>
      <w:pPr/>
      <w:r>
        <w:rPr>
          <w:shd w:val="clear" w:fill="eeee80"/>
        </w:rPr>
        <w:t xml:space="preserve"> تُطبَّق التعاريف التالية:</w:t>
      </w:r>
    </w:p>
    <w:p>
      <w:pPr/>
      <w:r>
        <w:rPr>
          <w:shd w:val="clear" w:fill="eeee80"/>
        </w:rPr>
        <w:t xml:space="preserve">١. المواد: العناصر الكيميائية ومركباتها كما توجد في حالتها الطبيعية أو كما تُستخلص من أي عملية إنتاج،</w:t>
      </w:r>
    </w:p>
    <w:p>
      <w:pPr/>
      <w:r>
        <w:rPr>
          <w:shd w:val="clear" w:fill="eeee80"/>
        </w:rPr>
        <w:t xml:space="preserve"> باستثناء أي مذيب يمكن فصله دون التأثير على استقرار المادة أو تغيير تركيبها.</w:t>
      </w:r>
    </w:p>
    <w:p>
      <w:pPr/>
      <w:r>
        <w:rPr>
          <w:shd w:val="clear" w:fill="eeee80"/>
        </w:rPr>
        <w:t xml:space="preserve">٣. فئات المخاطر:</w:t>
      </w:r>
    </w:p>
    <w:p>
      <w:pPr/>
      <w:r>
        <w:rPr>
          <w:shd w:val="clear" w:fill="eeee80"/>
        </w:rPr>
        <w:t xml:space="preserve"> عن طريق</w:t>
      </w:r>
    </w:p>
    <w:p>
      <w:pPr/>
      <w:r>
        <w:rPr>
          <w:shd w:val="clear" w:fill="eeee80"/>
        </w:rPr>
        <w:t xml:space="preserve">الاستنشاق أو الابتلاع أو اختراق الجلد بكميات ضئيلة جدًا</w:t>
      </w:r>
    </w:p>
    <w:p>
      <w:pPr/>
      <w:r>
        <w:rPr>
          <w:shd w:val="clear" w:fill="eeee80"/>
        </w:rPr>
        <w:t xml:space="preserve">الوفاة أو مخاطر حادة أو</w:t>
      </w:r>
    </w:p>
    <w:p>
      <w:pPr/>
      <w:r>
        <w:rPr>
          <w:shd w:val="clear" w:fill="eeee80"/>
        </w:rPr>
        <w:t xml:space="preserve">مزمنة؛</w:t>
      </w:r>
    </w:p>
    <w:p>
      <w:pPr/>
      <w:r>
        <w:rPr>
          <w:shd w:val="clear" w:fill="eeee80"/>
        </w:rPr>
        <w:t xml:space="preserve">ب) المواد السامة: المواد والمستحضرات التي،</w:t>
      </w:r>
    </w:p>
    <w:p>
      <w:pPr/>
      <w:r>
        <w:rPr>
          <w:shd w:val="clear" w:fill="eeee80"/>
        </w:rPr>
        <w:t xml:space="preserve">ج) المواد المؤكسدة: المواد أو المستحضرات التي،</w:t>
      </w:r>
    </w:p>
    <w:p>
      <w:pPr/>
      <w:r>
        <w:rPr>
          <w:shd w:val="clear" w:fill="eeee80"/>
        </w:rPr>
        <w:t xml:space="preserve"> عند ملامستها لمواد أخرى،</w:t>
      </w:r>
    </w:p>
    <w:p>
      <w:pPr/>
      <w:r>
        <w:rPr>
          <w:shd w:val="clear" w:fill="eeee80"/>
        </w:rPr>
        <w:t xml:space="preserve"> وخاصة المواد القابلة للاشتعال،</w:t>
      </w:r>
    </w:p>
    <w:p>
      <w:pPr/>
      <w:r>
        <w:rPr>
          <w:shd w:val="clear" w:fill="eeee80"/>
        </w:rPr>
        <w:t xml:space="preserve"> تُظهر تفاعلاً طاردًا للحرارة بشدة؛</w:t>
      </w:r>
    </w:p>
    <w:p>
      <w:pPr/>
      <w:r>
        <w:rPr>
          <w:shd w:val="clear" w:fill="eeee80"/>
        </w:rPr>
        <w:t xml:space="preserve"> والتي،</w:t>
      </w:r>
    </w:p>
    <w:p>
      <w:pPr/>
      <w:r>
        <w:rPr>
          <w:shd w:val="clear" w:fill="eeee80"/>
        </w:rPr>
        <w:t xml:space="preserve"> في ظل ظروف اختبار محددة،</w:t>
      </w:r>
    </w:p>
    <w:p>
      <w:pPr/>
      <w:r>
        <w:rPr>
          <w:shd w:val="clear" w:fill="eeee80"/>
        </w:rPr>
        <w:t xml:space="preserve"> تنفجر أو تنفجر بسرعة،</w:t>
      </w:r>
    </w:p>
    <w:p>
      <w:pPr/>
      <w:r>
        <w:rPr>
          <w:shd w:val="clear" w:fill="eeee80"/>
        </w:rPr>
        <w:t xml:space="preserve">هـ) المواد القابلة للاشتعال: المواد أو المستحضرات السائلة ذات نقطة وميض تساوي أو تزيد عن 21 درجة مئوية وتقل عن أو تساوي 55 درجة مئوية؛</w:t>
      </w:r>
    </w:p>
    <w:p>
      <w:pPr/>
      <w:r>
        <w:rPr>
          <w:shd w:val="clear" w:fill="eeee80"/>
        </w:rPr>
        <w:t xml:space="preserve"> عند ملامستها للأنسجة الحية،</w:t>
      </w:r>
    </w:p>
    <w:p>
      <w:pPr/>
      <w:r>
        <w:rPr>
          <w:shd w:val="clear" w:fill="eeee80"/>
        </w:rPr>
        <w:t xml:space="preserve"> يمكن أن يكون لها تأثير مدمر عليها.</w:t>
      </w:r>
    </w:p>
    <w:p>
      <w:pPr/>
      <w:r>
        <w:rPr>
          <w:shd w:val="clear" w:fill="eeee80"/>
        </w:rPr>
        <w:t xml:space="preserve">الحد الأدنى لعرض الإشعار الذي يفتح</w:t>
      </w:r>
    </w:p>
    <w:p>
      <w:pPr/>
      <w:r>
        <w:rPr>
          <w:shd w:val="clear" w:fill="eeee80"/>
        </w:rPr>
        <w:t xml:space="preserve">الشعبي المجتمعي.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2026-08-16T21:26:57+00:00</dcterms:created>
  <dcterms:modified xsi:type="dcterms:W3CDTF">2026-08-16T21:26:57+00:00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