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 - Court of Cassation, Criminal Case No. 104/2016Case CitationQatar Court of Cassation, 104/2016 (19 Dec. 2016).He then had non-consensual intercourse with her.RuleAccording to Article 300 of the Qatari Penal Code, if the heirs of the victim pardon retaliation or accept blood money, the death penalty must be replaced by imprisonment not exceeding fifteen years ?.IssueWhether the lower court made an error in applying the law by sentencing the accused to life imprisonment despite the victim's heirs pardoning retaliation (qisas) ?.AnalysisThe Court of Cassation explained that intent to kill can be inferred from circumstances, and in this case the confession, forensic evidence, and witness statements proved the crime.Procedural FactsThe Criminal Court sentenced the accused to life imprisonment, confiscation of the weapon, and deportation.Since the heirs pardoned, life imprisonment was unlawful.?HoldingYes.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