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الحجاج في الخطابة العربية .</w:t>
      </w:r>
    </w:p>
    <w:p>
      <w:pPr/>
      <w:r>
        <w:rPr>
          <w:shd w:val="clear" w:fill="eeee80"/>
        </w:rPr>
        <w:t xml:space="preserve"> ولم يكن أحد قبل هذا البدوي يتوقف عند هذه الآية الكريمة،</w:t>
      </w:r>
    </w:p>
    <w:p>
      <w:pPr/>
      <w:r>
        <w:rPr>
          <w:shd w:val="clear" w:fill="eeee80"/>
        </w:rPr>
        <w:t xml:space="preserve"> ويفهم ما فهمه لكنه عندما فهمها لم يتمكن من تمالك عواطفه " إذ لاحظ أن في الآية الثانية تأكيدا مضاعفا،</w:t>
      </w:r>
    </w:p>
    <w:p>
      <w:pPr/>
      <w:r>
        <w:rPr>
          <w:shd w:val="clear" w:fill="eeee80"/>
        </w:rPr>
        <w:t xml:space="preserve"> والمتكلم لا يحتاج إلى تكرار التوكيد إلا إذا كان المخاطب يشك في كلامة،</w:t>
      </w:r>
    </w:p>
    <w:p>
      <w:pPr/>
      <w:r>
        <w:rPr>
          <w:shd w:val="clear" w:fill="eeee80"/>
        </w:rPr>
        <w:t xml:space="preserve"> كما أنه لا يقسم إلا إذا كان المخاطب يرفض التصديق،</w:t>
      </w:r>
    </w:p>
    <w:p>
      <w:pPr/>
      <w:r>
        <w:rPr>
          <w:shd w:val="clear" w:fill="eeee80"/>
        </w:rPr>
        <w:t xml:space="preserve"> فالآية الأولى تذكر معلومة مهمة،</w:t>
      </w:r>
    </w:p>
    <w:p>
      <w:pPr/>
      <w:r>
        <w:rPr/>
        <w:t xml:space="preserve"> وأن الإنسان لن يستطيع عن طريق الأسباب وحدها أن يحصل عليه،</w:t>
      </w:r>
    </w:p>
    <w:p>
      <w:pPr/>
      <w:r>
        <w:rPr>
          <w:shd w:val="clear" w:fill="eeee80"/>
        </w:rPr>
        <w:t xml:space="preserve"> فالأسباب لن تعمل إلا إذا كان الله قد كتب للإنسان أن يحصل على الرزق منها،</w:t>
      </w:r>
    </w:p>
    <w:p>
      <w:pPr/>
      <w:r>
        <w:rPr>
          <w:shd w:val="clear" w:fill="eeee80"/>
        </w:rPr>
        <w:t xml:space="preserve"> أما إذا لم يكتب الله للإنسان الحصول على المال،</w:t>
      </w:r>
    </w:p>
    <w:p>
      <w:pPr/>
      <w:r>
        <w:rPr/>
        <w:t xml:space="preserve"> فلن تنجح الأسباب وحدها أبدا. وهذه الفكرة الدقيقة لا يؤمن بها كثير من الناس إيمانًا عميقاً، وحتى الذين يؤمنون بها،</w:t>
      </w:r>
    </w:p>
    <w:p>
      <w:pPr/>
      <w:r>
        <w:rPr>
          <w:shd w:val="clear" w:fill="eeee80"/>
        </w:rPr>
        <w:t xml:space="preserve"> لكننا عندما تتأمل أفعاله سنجدها تدل على أنه لا يصدق ذلك تصديقاً كاملا،</w:t>
      </w:r>
    </w:p>
    <w:p>
      <w:pPr/>
      <w:r>
        <w:rPr/>
        <w:t xml:space="preserve"> إذ لو كان يصدق لاختفى الظلم والقتل من أجل المال،</w:t>
      </w:r>
    </w:p>
    <w:p>
      <w:pPr/>
      <w:r>
        <w:rPr>
          <w:shd w:val="clear" w:fill="eeee80"/>
        </w:rPr>
        <w:t xml:space="preserve"> فالإنسان المؤمن بأنه سيحصل على كل ما قدره الله له من الرزق،</w:t>
      </w:r>
    </w:p>
    <w:p>
      <w:pPr/>
      <w:r>
        <w:rPr>
          <w:shd w:val="clear" w:fill="eeee80"/>
        </w:rPr>
        <w:t xml:space="preserve"> وبأنه لن يحصل على غيره أبدًا مهما فعل - لن يرتكب جرائم من أجل المال أبدا.</w:t>
      </w:r>
    </w:p>
    <w:p>
      <w:pPr/>
      <w:r>
        <w:rPr>
          <w:shd w:val="clear" w:fill="eeee80"/>
        </w:rPr>
        <w:t xml:space="preserve"> ومعنى هذا أن من يفعل هذه المظالم يرفض من خلال عمله التصديق بأن رزقه في السماء،</w:t>
      </w:r>
    </w:p>
    <w:p>
      <w:pPr/>
      <w:r>
        <w:rPr>
          <w:shd w:val="clear" w:fill="eeee80"/>
        </w:rPr>
        <w:t xml:space="preserve"> ولذلك أقسم الله على صحة هذه المعلومة،</w:t>
      </w:r>
    </w:p>
    <w:p>
      <w:pPr/>
      <w:r>
        <w:rPr>
          <w:shd w:val="clear" w:fill="eeee80"/>
        </w:rPr>
        <w:t xml:space="preserve"> وأكد ذلك بعدد غير قليل من المؤكدات إشارة إلى أن الناس يقفون موقف المنكر،</w:t>
      </w:r>
    </w:p>
    <w:p>
      <w:pPr/>
      <w:r>
        <w:rPr>
          <w:shd w:val="clear" w:fill="eeee80"/>
        </w:rPr>
        <w:t xml:space="preserve"> وهذا ما فهمه الأعرابي فتعجب من قسوة الناس وغلظتهم مع ربهم حتى جعلوه يقسم ويؤكد،</w:t>
      </w:r>
    </w:p>
    <w:p>
      <w:pPr/>
      <w:r>
        <w:rPr>
          <w:shd w:val="clear" w:fill="eeee80"/>
        </w:rPr>
        <w:t xml:space="preserve"> وما كان يليق بالناس أن يجعلوا خالقهم،</w:t>
      </w:r>
    </w:p>
    <w:p>
      <w:pPr/>
      <w:r>
        <w:rPr/>
        <w:t xml:space="preserve"> ويؤكد، وتأثر الأعرابي بذلك حتى خر مغشيا عليه (1).</w:t>
      </w:r>
    </w:p>
    <w:p>
      <w:pPr/>
      <w:r>
        <w:rPr>
          <w:shd w:val="clear" w:fill="eeee80"/>
        </w:rPr>
        <w:t xml:space="preserve">1) انظر حسام قاسم : الإعجاز اللغوي للقرآن الكريم،</w:t>
      </w:r>
    </w:p>
    <w:p>
      <w:pPr/>
      <w:r>
        <w:rPr/>
        <w:t xml:space="preserve"> والنص المحال إليه عند الزمخشري في الكشاف: ٤٠٠/٤</w:t>
      </w:r>
    </w:p>
    <w:p>
      <w:pPr/>
      <w:r>
        <w:rPr>
          <w:shd w:val="clear" w:fill="eeee80"/>
        </w:rPr>
        <w:t xml:space="preserve">-۹۹۸-</w:t>
      </w:r>
    </w:p>
    <w:p>
      <w:pPr/>
      <w:r>
        <w:rPr>
          <w:shd w:val="clear" w:fill="eeee80"/>
        </w:rPr>
        <w:t xml:space="preserve">ده بدر محمد إبراهيم -</w:t>
      </w:r>
    </w:p>
    <w:p>
      <w:pPr/>
      <w:r>
        <w:rPr>
          <w:shd w:val="clear" w:fill="eeee80"/>
        </w:rPr>
        <w:t xml:space="preserve">وهكذا تعد فكرة ربط التوكيد بحال المخاطب من أبجديات البلاغة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2026-10-23T00:51:38+00:00</dcterms:created>
  <dcterms:modified xsi:type="dcterms:W3CDTF">2026-10-23T00:51:38+00:00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