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هكذا فإن "الهدف الإستراتيجي" لانجلترا -من أوائل 1833م وحتى أوائل 1834م- كان يتمثل في القضاء على توسعات الباشا.</w:t>
      </w:r>
    </w:p>
    <w:p>
      <w:pPr/>
      <w:r>
        <w:rPr>
          <w:shd w:val="clear" w:fill="eeee80"/>
        </w:rPr>
        <w:t xml:space="preserve"> بيد أن تنفيذ ذلك الهدف لم يكن مُمكناً أمام التعقيدات الموجودة.</w:t>
      </w:r>
    </w:p>
    <w:p>
      <w:pPr/>
      <w:r>
        <w:rPr>
          <w:shd w:val="clear" w:fill="eeee80"/>
        </w:rPr>
        <w:t xml:space="preserve"> ومن ثم ستلجأ انجلترا إلى "تكتيكات مرحلية " تجمع بين الإقتصاد والسياسة لتنفيذ استراتيجيتها على مدى زمني غير قصير.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2026-08-27T04:54:10+00:00</dcterms:created>
  <dcterms:modified xsi:type="dcterms:W3CDTF">2026-08-27T04:54:10+00:00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