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 : هذا الباب يتعرض للدراسة النفسية للعملية الجنائية ،</w:t>
      </w:r>
    </w:p>
    <w:p>
      <w:pPr/>
      <w:r>
        <w:rPr>
          <w:shd w:val="clear" w:fill="eeee80"/>
        </w:rPr>
        <w:t xml:space="preserve"> وهو يتعرض لبعض المشكلات التطبيقية في مجال علم النفس الجنائي .</w:t>
      </w:r>
    </w:p>
    <w:p>
      <w:pPr/>
      <w:r>
        <w:rPr>
          <w:shd w:val="clear" w:fill="eeee80"/>
        </w:rPr>
        <w:t xml:space="preserve"> ويشمل أربعة فصول يتناول الأول أركان العمل الجنائى وهم رجل الشرطة والمحامي والقاضي ،</w:t>
      </w:r>
    </w:p>
    <w:p>
      <w:pPr/>
      <w:r>
        <w:rPr>
          <w:shd w:val="clear" w:fill="eeee80"/>
        </w:rPr>
        <w:t xml:space="preserve"> عارضا الجوانب النفسية المتعلقة بهذه المهن الحساسة ومبينا متاعب كل مهنة منها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2026-11-06T12:16:44+00:00</dcterms:created>
  <dcterms:modified xsi:type="dcterms:W3CDTF">2026-11-06T12:16:44+00:00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