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يشمل أصحاب المصلحة المختلفون المشاركون في الإدارة المثالية لنظام إدارة السلف والإيرادات المديرين الماليين ومديري النقد والمدققين الداخليين والخارجيين وسلطات الضرائب والموظفين المسؤولين عن النفقات والإيرادات.</w:t>
      </w:r>
    </w:p>
    <w:p>
      <w:pPr/>
      <w:r>
        <w:rPr/>
        <w:t xml:space="preserve">  يعد التواصل الفعال بين هذه الجهات الفاعلة أمرًا ضروريًا لضمان إدارة شفافة ومسؤولة للأموال.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2026-10-11T00:29:42+00:00</dcterms:created>
  <dcterms:modified xsi:type="dcterms:W3CDTF">2026-10-11T00:29:42+00:00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